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44ADF" w14:textId="079DE0C7"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692457">
        <w:rPr>
          <w:rFonts w:ascii="Arial" w:hAnsi="Arial" w:cs="Arial"/>
          <w:b/>
          <w:sz w:val="24"/>
          <w:szCs w:val="24"/>
          <w:lang w:val="en-US"/>
        </w:rPr>
        <w:t>6</w:t>
      </w:r>
      <w:r w:rsidR="00907CB8">
        <w:rPr>
          <w:rFonts w:ascii="Arial" w:hAnsi="Arial" w:cs="Arial"/>
          <w:b/>
          <w:sz w:val="24"/>
          <w:szCs w:val="24"/>
          <w:lang w:val="en-US"/>
        </w:rPr>
        <w:t>bis-e</w:t>
      </w:r>
      <w:r w:rsidR="00D43146">
        <w:rPr>
          <w:rFonts w:ascii="Arial" w:hAnsi="Arial" w:cs="Arial"/>
          <w:b/>
          <w:sz w:val="24"/>
          <w:szCs w:val="24"/>
          <w:lang w:val="en-US"/>
        </w:rPr>
        <w:t xml:space="preserve"> </w:t>
      </w:r>
      <w:r w:rsidR="00D43146">
        <w:rPr>
          <w:rFonts w:ascii="Arial" w:hAnsi="Arial" w:cs="Arial"/>
          <w:b/>
          <w:sz w:val="24"/>
          <w:szCs w:val="24"/>
          <w:lang w:val="en-US"/>
        </w:rPr>
        <w:tab/>
      </w:r>
      <w:r w:rsidR="00183ED5" w:rsidRPr="00183ED5">
        <w:rPr>
          <w:rFonts w:ascii="Arial" w:hAnsi="Arial" w:cs="Arial"/>
          <w:b/>
          <w:sz w:val="24"/>
          <w:szCs w:val="24"/>
          <w:lang w:val="en-US"/>
        </w:rPr>
        <w:t>R4-2305300</w:t>
      </w:r>
    </w:p>
    <w:p w14:paraId="525953A8" w14:textId="255F466E" w:rsidR="00054954" w:rsidRPr="00F44C66" w:rsidRDefault="00907CB8"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Online</w:t>
      </w:r>
      <w:r w:rsidR="00054954" w:rsidRPr="00054954">
        <w:rPr>
          <w:rFonts w:ascii="Arial" w:hAnsi="Arial" w:cs="Arial"/>
          <w:b/>
          <w:sz w:val="24"/>
          <w:szCs w:val="24"/>
          <w:lang w:val="en-US"/>
        </w:rPr>
        <w:t xml:space="preserve">, </w:t>
      </w:r>
      <w:r>
        <w:rPr>
          <w:rFonts w:ascii="Arial" w:hAnsi="Arial" w:cs="Arial"/>
          <w:b/>
          <w:sz w:val="24"/>
          <w:szCs w:val="24"/>
        </w:rPr>
        <w:t>April</w:t>
      </w:r>
      <w:r w:rsidR="00624FAB">
        <w:rPr>
          <w:rFonts w:ascii="Arial" w:hAnsi="Arial" w:cs="Arial"/>
          <w:b/>
          <w:sz w:val="24"/>
          <w:szCs w:val="24"/>
        </w:rPr>
        <w:t xml:space="preserve"> </w:t>
      </w:r>
      <w:r>
        <w:rPr>
          <w:rFonts w:ascii="Arial" w:hAnsi="Arial" w:cs="Arial"/>
          <w:b/>
          <w:sz w:val="24"/>
          <w:szCs w:val="24"/>
        </w:rPr>
        <w:t>1</w:t>
      </w:r>
      <w:r w:rsidR="00692457">
        <w:rPr>
          <w:rFonts w:ascii="Arial" w:hAnsi="Arial" w:cs="Arial"/>
          <w:b/>
          <w:sz w:val="24"/>
          <w:szCs w:val="24"/>
        </w:rPr>
        <w:t>7</w:t>
      </w:r>
      <w:r w:rsidR="00F44C66" w:rsidRPr="00E13633">
        <w:rPr>
          <w:rFonts w:ascii="Arial" w:hAnsi="Arial" w:cs="Arial"/>
          <w:b/>
          <w:sz w:val="24"/>
          <w:szCs w:val="24"/>
        </w:rPr>
        <w:t xml:space="preserve"> – </w:t>
      </w:r>
      <w:r>
        <w:rPr>
          <w:rFonts w:ascii="Arial" w:hAnsi="Arial" w:cs="Arial"/>
          <w:b/>
          <w:sz w:val="24"/>
          <w:szCs w:val="24"/>
        </w:rPr>
        <w:t>26</w:t>
      </w:r>
      <w:r w:rsidR="00F44C66" w:rsidRPr="00E13633">
        <w:rPr>
          <w:rFonts w:ascii="Arial" w:hAnsi="Arial" w:cs="Arial"/>
          <w:b/>
          <w:sz w:val="24"/>
          <w:szCs w:val="24"/>
        </w:rPr>
        <w:t>, 202</w:t>
      </w:r>
      <w:r w:rsidR="00692457">
        <w:rPr>
          <w:rFonts w:ascii="Arial" w:hAnsi="Arial" w:cs="Arial"/>
          <w:b/>
          <w:sz w:val="24"/>
          <w:szCs w:val="24"/>
        </w:rPr>
        <w:t>3</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Pr="00883F32">
        <w:rPr>
          <w:rFonts w:ascii="Arial" w:hAnsi="Arial" w:cs="Arial"/>
          <w:sz w:val="22"/>
        </w:rPr>
        <w:t>Huawei</w:t>
      </w:r>
      <w:r w:rsidR="00F26092" w:rsidRPr="00883F32">
        <w:rPr>
          <w:rFonts w:ascii="Arial" w:eastAsia="Symbol" w:hAnsi="Arial" w:cs="Arial"/>
          <w:sz w:val="22"/>
        </w:rPr>
        <w:t>, Hi</w:t>
      </w:r>
      <w:r w:rsidR="001B6687" w:rsidRPr="00883F32">
        <w:rPr>
          <w:rFonts w:ascii="Arial" w:eastAsia="Symbol" w:hAnsi="Arial" w:cs="Arial"/>
          <w:sz w:val="22"/>
        </w:rPr>
        <w:t>S</w:t>
      </w:r>
      <w:r w:rsidR="00F26092" w:rsidRPr="00883F32">
        <w:rPr>
          <w:rFonts w:ascii="Arial" w:eastAsia="Symbol" w:hAnsi="Arial" w:cs="Arial"/>
          <w:sz w:val="22"/>
        </w:rPr>
        <w:t>ilicon</w:t>
      </w:r>
    </w:p>
    <w:p w14:paraId="787D1100" w14:textId="55DE3CA6"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83ED5" w:rsidRPr="00183ED5">
        <w:rPr>
          <w:rFonts w:ascii="Arial" w:hAnsi="Arial" w:cs="Arial"/>
          <w:sz w:val="22"/>
        </w:rPr>
        <w:t>Consideration on the co-location requirements</w:t>
      </w:r>
    </w:p>
    <w:p w14:paraId="71022389" w14:textId="7EEAE946"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183ED5">
        <w:rPr>
          <w:rFonts w:ascii="Arial" w:eastAsia="Symbol" w:hAnsi="Arial" w:cs="Arial"/>
          <w:sz w:val="22"/>
        </w:rPr>
        <w:t>5.2.1</w:t>
      </w:r>
    </w:p>
    <w:p w14:paraId="7A1A2664" w14:textId="6803ABE4"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C548E9">
        <w:rPr>
          <w:rFonts w:ascii="Arial" w:eastAsia="Symbol" w:hAnsi="Arial" w:cs="Arial"/>
          <w:sz w:val="22"/>
        </w:rPr>
        <w:t>Discussion</w:t>
      </w:r>
      <w:bookmarkStart w:id="4" w:name="_GoBack"/>
      <w:bookmarkEnd w:id="4"/>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5C5B416E" w14:textId="0999EAB8" w:rsidR="00907CB8" w:rsidRDefault="00EC5F93" w:rsidP="00EC5F93">
      <w:pPr>
        <w:overflowPunct/>
        <w:autoSpaceDE/>
        <w:autoSpaceDN/>
        <w:adjustRightInd/>
        <w:spacing w:after="120"/>
        <w:textAlignment w:val="auto"/>
      </w:pPr>
      <w:r>
        <w:t>There are currently no specific emissions requirements for co-existence (same geographical area) and co-location for FR2 BS. The background captured in TR 38-817-2 for this is given as:</w:t>
      </w:r>
    </w:p>
    <w:p w14:paraId="4FBBC11D" w14:textId="77777777" w:rsidR="00EC5F93" w:rsidRPr="00EC5F93" w:rsidRDefault="00EC5F93" w:rsidP="00EC5F93">
      <w:pPr>
        <w:overflowPunct/>
        <w:autoSpaceDE/>
        <w:autoSpaceDN/>
        <w:adjustRightInd/>
        <w:spacing w:after="120"/>
        <w:ind w:left="284"/>
        <w:textAlignment w:val="auto"/>
      </w:pPr>
      <w:r w:rsidRPr="00EC5F93">
        <w:t>“</w:t>
      </w:r>
      <w:r w:rsidRPr="00EC5F93">
        <w:rPr>
          <w:lang w:val="en-US"/>
        </w:rPr>
        <w:t>OTA transmitter spurious emissions co-location requirements shall not be specified for BS type 2-O co-located with BS type 2-O. Regional requirements are FFS.”</w:t>
      </w:r>
    </w:p>
    <w:p w14:paraId="40B53AF4" w14:textId="5903479F" w:rsidR="00EC5F93" w:rsidRDefault="00EC5F93" w:rsidP="00EC5F93">
      <w:pPr>
        <w:overflowPunct/>
        <w:autoSpaceDE/>
        <w:autoSpaceDN/>
        <w:adjustRightInd/>
        <w:spacing w:after="120"/>
        <w:textAlignment w:val="auto"/>
      </w:pPr>
      <w:r>
        <w:t xml:space="preserve"> Whilst this states the fact that a decisions was made it does not state the reason behind this. As such the background is based on historical contributions and also memory.</w:t>
      </w:r>
    </w:p>
    <w:p w14:paraId="6DDF7E98" w14:textId="4E880884" w:rsidR="00EC5F93" w:rsidRDefault="00EC5F93" w:rsidP="00EC5F93">
      <w:pPr>
        <w:overflowPunct/>
        <w:autoSpaceDE/>
        <w:autoSpaceDN/>
        <w:adjustRightInd/>
        <w:spacing w:after="120"/>
        <w:textAlignment w:val="auto"/>
      </w:pPr>
      <w:r>
        <w:t>As such there are 2 potential reasons why co-existence and co-location requirement were not specified.</w:t>
      </w:r>
    </w:p>
    <w:p w14:paraId="0C04EA3E" w14:textId="76BA02F0" w:rsidR="00EC5F93" w:rsidRDefault="00EC5F93" w:rsidP="00EC5F93">
      <w:pPr>
        <w:pStyle w:val="aff6"/>
        <w:numPr>
          <w:ilvl w:val="0"/>
          <w:numId w:val="40"/>
        </w:numPr>
        <w:overflowPunct/>
        <w:autoSpaceDE/>
        <w:autoSpaceDN/>
        <w:adjustRightInd/>
        <w:spacing w:after="120"/>
        <w:textAlignment w:val="auto"/>
      </w:pPr>
      <w:r>
        <w:t>The high path loss and isolation at FR2 renders them unnecessary</w:t>
      </w:r>
    </w:p>
    <w:p w14:paraId="7DF8508E" w14:textId="144F2CF6" w:rsidR="00EC5F93" w:rsidRDefault="00EC5F93" w:rsidP="00EC5F93">
      <w:pPr>
        <w:pStyle w:val="aa"/>
        <w:numPr>
          <w:ilvl w:val="0"/>
          <w:numId w:val="40"/>
        </w:numPr>
      </w:pPr>
      <w:r>
        <w:t>At the time the limited number of FR2 bands meant that 2 bands in the same geographical area was not considered a practical deployment</w:t>
      </w:r>
      <w:r w:rsidR="00A547D9">
        <w:t xml:space="preserve"> and any regional exceptions could be dealt with as regional requirements.</w:t>
      </w:r>
    </w:p>
    <w:p w14:paraId="3C7C923D" w14:textId="4C0CFC7E" w:rsidR="00F706E7" w:rsidRDefault="00F706E7" w:rsidP="00EC5F93">
      <w:pPr>
        <w:pStyle w:val="aa"/>
        <w:numPr>
          <w:ilvl w:val="0"/>
          <w:numId w:val="40"/>
        </w:numPr>
      </w:pPr>
      <w:r>
        <w:t>Other mitigating factors</w:t>
      </w:r>
    </w:p>
    <w:p w14:paraId="39F624CA" w14:textId="50A09F61" w:rsidR="00F706E7" w:rsidRDefault="00F706E7" w:rsidP="00EC5F93">
      <w:pPr>
        <w:pStyle w:val="aa"/>
        <w:ind w:left="0" w:firstLine="0"/>
      </w:pPr>
      <w:r>
        <w:t>Clearly the work on FR2-1 multi-band BS indicates that there are now a number of regions where multiple FR2-1 bands are defined and potentially may be used (otherwise what is the point of a multi-band BS) as such it is worthwhile to re-examine the decision in particular if the reasoning was based on (2).</w:t>
      </w:r>
    </w:p>
    <w:p w14:paraId="5C7E6A44" w14:textId="4F751FB2" w:rsidR="00EC5F93" w:rsidRPr="00EC5F93" w:rsidRDefault="00F706E7" w:rsidP="00EC5F93">
      <w:pPr>
        <w:pStyle w:val="aa"/>
        <w:ind w:left="0" w:firstLine="0"/>
      </w:pPr>
      <w:r>
        <w:t>As the background behind the decision was not captured in great detail in the TR this paper looks at some of the background presented at the time and the decisions that were made. As well as potential requirements for both co-existence and co-location based on previous assumptions.</w:t>
      </w:r>
    </w:p>
    <w:p w14:paraId="0636B00D" w14:textId="525D89DA" w:rsidR="002D0FAC" w:rsidRDefault="00D43146" w:rsidP="002D0FAC">
      <w:pPr>
        <w:pStyle w:val="10"/>
        <w:rPr>
          <w:rFonts w:cs="Arial"/>
        </w:rPr>
      </w:pPr>
      <w:r>
        <w:rPr>
          <w:rFonts w:cs="Arial"/>
        </w:rPr>
        <w:t xml:space="preserve">2 </w:t>
      </w:r>
      <w:r w:rsidR="00F706E7">
        <w:rPr>
          <w:rFonts w:cs="Arial"/>
        </w:rPr>
        <w:t>Background</w:t>
      </w:r>
    </w:p>
    <w:p w14:paraId="50C02C43" w14:textId="0664050F" w:rsidR="006157AA" w:rsidRDefault="006157AA" w:rsidP="00D37794">
      <w:r>
        <w:t>Looking at the contributions on the issue of co-location (emissions and blocking) at the meetings prior to the agreement captured in the TR:</w:t>
      </w:r>
    </w:p>
    <w:p w14:paraId="320C0157" w14:textId="55F91C51" w:rsidR="00D37794" w:rsidRPr="006157AA" w:rsidRDefault="00D37794" w:rsidP="00D37794">
      <w:pPr>
        <w:rPr>
          <w:b/>
        </w:rPr>
      </w:pPr>
      <w:r w:rsidRPr="006157AA">
        <w:rPr>
          <w:b/>
        </w:rPr>
        <w:t>AD HOC NR#2 (June 2017)</w:t>
      </w:r>
    </w:p>
    <w:p w14:paraId="08E768B9" w14:textId="4F0C4A86" w:rsidR="00D37794" w:rsidRDefault="00D37794" w:rsidP="00D37794">
      <w:pPr>
        <w:ind w:left="284"/>
      </w:pPr>
      <w:r w:rsidRPr="00D37794">
        <w:t>R4-1706766, R4-1704951</w:t>
      </w:r>
      <w:r>
        <w:t xml:space="preserve"> </w:t>
      </w:r>
      <w:r w:rsidRPr="00D37794">
        <w:t xml:space="preserve">measurement data from Ericsson FR2 mm wave isolation &gt;70dB </w:t>
      </w:r>
    </w:p>
    <w:p w14:paraId="7505EE4E" w14:textId="30A93762" w:rsidR="00F706E7" w:rsidRPr="006157AA" w:rsidRDefault="00F706E7" w:rsidP="00AF3966">
      <w:pPr>
        <w:rPr>
          <w:b/>
        </w:rPr>
      </w:pPr>
      <w:r w:rsidRPr="006157AA">
        <w:rPr>
          <w:b/>
        </w:rPr>
        <w:t>RAN4#84 (Aug 2017)</w:t>
      </w:r>
    </w:p>
    <w:p w14:paraId="644260AD" w14:textId="7E79C43F" w:rsidR="00F706E7" w:rsidRDefault="00F706E7" w:rsidP="00D37794">
      <w:pPr>
        <w:ind w:left="284"/>
      </w:pPr>
      <w:r>
        <w:t>Some agreements were captured in WF for both co-location emissions and co-location blocking</w:t>
      </w:r>
    </w:p>
    <w:p w14:paraId="0E69C374" w14:textId="5E08EE9A" w:rsidR="00F706E7" w:rsidRDefault="00F706E7" w:rsidP="00D37794">
      <w:pPr>
        <w:ind w:left="284"/>
      </w:pPr>
      <w:r>
        <w:t xml:space="preserve">R4-1706159 - </w:t>
      </w:r>
      <w:r w:rsidRPr="00F706E7">
        <w:t>WF on the exclusion of the Tx requirements in Range 2</w:t>
      </w:r>
    </w:p>
    <w:p w14:paraId="17B68043" w14:textId="5B16DB4E" w:rsidR="00F706E7" w:rsidRDefault="00F706E7" w:rsidP="00D37794">
      <w:pPr>
        <w:pStyle w:val="aff6"/>
        <w:numPr>
          <w:ilvl w:val="0"/>
          <w:numId w:val="42"/>
        </w:numPr>
        <w:ind w:left="1004"/>
      </w:pPr>
      <w:r w:rsidRPr="00F706E7">
        <w:t>TX co-location emissions requirements for range 2 to range 2 should consider both isolation and feasible filter and antenna implementations</w:t>
      </w:r>
    </w:p>
    <w:p w14:paraId="4435BECD" w14:textId="719B0464" w:rsidR="00F706E7" w:rsidRPr="00907CB8" w:rsidRDefault="00F706E7" w:rsidP="00D37794">
      <w:pPr>
        <w:ind w:left="284"/>
      </w:pPr>
      <w:r>
        <w:t xml:space="preserve">R4-1706160 - </w:t>
      </w:r>
      <w:r w:rsidR="007D1B9C">
        <w:t>WF on the exclusion of the R</w:t>
      </w:r>
      <w:r w:rsidRPr="00F706E7">
        <w:t>x requirements in Range 2</w:t>
      </w:r>
    </w:p>
    <w:p w14:paraId="5B534D53" w14:textId="2593C9B4" w:rsidR="002C56B3" w:rsidRPr="00D37794" w:rsidRDefault="002C56B3" w:rsidP="00D37794">
      <w:pPr>
        <w:numPr>
          <w:ilvl w:val="0"/>
          <w:numId w:val="41"/>
        </w:numPr>
        <w:tabs>
          <w:tab w:val="clear" w:pos="720"/>
          <w:tab w:val="num" w:pos="1004"/>
        </w:tabs>
        <w:ind w:left="1004"/>
      </w:pPr>
      <w:r w:rsidRPr="00F706E7">
        <w:rPr>
          <w:lang w:val="en-US"/>
        </w:rPr>
        <w:t>Receiver co-location blocking requirements for range 2 to range 2 should take into account both isolation and feasible filter and antenna performance</w:t>
      </w:r>
    </w:p>
    <w:p w14:paraId="31ADBBC2" w14:textId="7D0EC025" w:rsidR="00D37794" w:rsidRPr="006157AA" w:rsidRDefault="00D37794" w:rsidP="00D37794">
      <w:pPr>
        <w:rPr>
          <w:b/>
        </w:rPr>
      </w:pPr>
      <w:r w:rsidRPr="006157AA">
        <w:rPr>
          <w:b/>
        </w:rPr>
        <w:lastRenderedPageBreak/>
        <w:t>RAN4#84bis (Oct 2017)</w:t>
      </w:r>
    </w:p>
    <w:p w14:paraId="11277AFB" w14:textId="6C7AB652" w:rsidR="00D37794" w:rsidRDefault="00D37794" w:rsidP="00D37794">
      <w:pPr>
        <w:ind w:firstLine="284"/>
      </w:pPr>
      <w:r w:rsidRPr="00D37794">
        <w:t>R4-1711778</w:t>
      </w:r>
      <w:r w:rsidRPr="00D37794">
        <w:tab/>
        <w:t>TP for TR: on co-location requirements between sub-6 GHz and mm-wave bands</w:t>
      </w:r>
    </w:p>
    <w:p w14:paraId="3AB156FC" w14:textId="6A075BDA" w:rsidR="00D37794" w:rsidRDefault="00D37794" w:rsidP="00D37794">
      <w:pPr>
        <w:pStyle w:val="aff6"/>
        <w:numPr>
          <w:ilvl w:val="0"/>
          <w:numId w:val="42"/>
        </w:numPr>
      </w:pPr>
      <w:r>
        <w:t>Agreement that no-colocation needed between FR1 and FR2 due to high isolation captured in TR</w:t>
      </w:r>
    </w:p>
    <w:p w14:paraId="5113FA61" w14:textId="34BA44CC" w:rsidR="00D37794" w:rsidRPr="006157AA" w:rsidRDefault="00D37794" w:rsidP="00D37794">
      <w:pPr>
        <w:rPr>
          <w:b/>
        </w:rPr>
      </w:pPr>
      <w:r w:rsidRPr="006157AA">
        <w:rPr>
          <w:b/>
        </w:rPr>
        <w:t>RAN4#85 (</w:t>
      </w:r>
      <w:r w:rsidR="005928DC" w:rsidRPr="006157AA">
        <w:rPr>
          <w:b/>
        </w:rPr>
        <w:t>Nov</w:t>
      </w:r>
      <w:r w:rsidRPr="006157AA">
        <w:rPr>
          <w:b/>
        </w:rPr>
        <w:t xml:space="preserve"> 2017)</w:t>
      </w:r>
    </w:p>
    <w:p w14:paraId="375B9FF3" w14:textId="0ED8FD6D" w:rsidR="00D37794" w:rsidRDefault="005928DC" w:rsidP="00D37794">
      <w:pPr>
        <w:pStyle w:val="aa"/>
      </w:pPr>
      <w:r w:rsidRPr="005928DC">
        <w:t>R4-1713300</w:t>
      </w:r>
      <w:r>
        <w:t xml:space="preserve"> - </w:t>
      </w:r>
      <w:r w:rsidRPr="005928DC">
        <w:t>On co-location/band-specific blocking for mm-wave bands (FR2)</w:t>
      </w:r>
    </w:p>
    <w:p w14:paraId="357EFFF0" w14:textId="36435D01" w:rsidR="005928DC" w:rsidRDefault="005928DC" w:rsidP="002C56B3">
      <w:pPr>
        <w:pStyle w:val="aa"/>
        <w:numPr>
          <w:ilvl w:val="0"/>
          <w:numId w:val="42"/>
        </w:numPr>
      </w:pPr>
      <w:r>
        <w:t xml:space="preserve">Proposal 1: The FR2 band-specific blocking requirements are not needed to be included in the first release of NR, rather can be specified when </w:t>
      </w:r>
      <w:proofErr w:type="spellStart"/>
      <w:r>
        <w:t>rel</w:t>
      </w:r>
      <w:proofErr w:type="spellEnd"/>
      <w:r>
        <w:t xml:space="preserve"> 15 is finalized within June 2018 time frame. (Not approved)</w:t>
      </w:r>
    </w:p>
    <w:p w14:paraId="32200A27" w14:textId="54137047" w:rsidR="005928DC" w:rsidRPr="006157AA" w:rsidRDefault="005928DC" w:rsidP="005928DC">
      <w:pPr>
        <w:rPr>
          <w:b/>
        </w:rPr>
      </w:pPr>
      <w:r w:rsidRPr="006157AA">
        <w:rPr>
          <w:b/>
        </w:rPr>
        <w:t>RAN4#86 (Feb 2018)</w:t>
      </w:r>
    </w:p>
    <w:p w14:paraId="08C7320E" w14:textId="413B9051" w:rsidR="006C1E5B" w:rsidRDefault="006C1E5B" w:rsidP="005928DC">
      <w:r>
        <w:tab/>
        <w:t xml:space="preserve">Nothing </w:t>
      </w:r>
      <w:r w:rsidR="006157AA">
        <w:t>relevant</w:t>
      </w:r>
    </w:p>
    <w:p w14:paraId="0D639800" w14:textId="057AE6AF" w:rsidR="005928DC" w:rsidRPr="006157AA" w:rsidRDefault="005928DC" w:rsidP="005928DC">
      <w:pPr>
        <w:rPr>
          <w:b/>
        </w:rPr>
      </w:pPr>
      <w:r w:rsidRPr="006157AA">
        <w:rPr>
          <w:b/>
        </w:rPr>
        <w:t>RAN4#86bis (Apr 2018)</w:t>
      </w:r>
    </w:p>
    <w:p w14:paraId="6AF5276D" w14:textId="6078CD10" w:rsidR="005928DC" w:rsidRDefault="005928DC" w:rsidP="005928DC">
      <w:pPr>
        <w:pStyle w:val="aa"/>
      </w:pPr>
      <w:r w:rsidRPr="005928DC">
        <w:t>R4-1804963</w:t>
      </w:r>
      <w:r>
        <w:t xml:space="preserve"> - </w:t>
      </w:r>
      <w:r w:rsidRPr="005928DC">
        <w:t>NR BS Tx spurious emission for co-location for FR2</w:t>
      </w:r>
      <w:r>
        <w:t xml:space="preserve"> – Nokia</w:t>
      </w:r>
    </w:p>
    <w:p w14:paraId="2F9E623D" w14:textId="34DE983B" w:rsidR="005928DC" w:rsidRDefault="005928DC" w:rsidP="005928DC">
      <w:pPr>
        <w:pStyle w:val="aa"/>
        <w:numPr>
          <w:ilvl w:val="0"/>
          <w:numId w:val="42"/>
        </w:numPr>
      </w:pPr>
      <w:r>
        <w:t>Observation: Other solutions like e</w:t>
      </w:r>
      <w:r w:rsidR="0039210F">
        <w:t>.</w:t>
      </w:r>
      <w:r>
        <w:t>g. network synchronization should be used as starting point for BS co-location in FR2 bands.</w:t>
      </w:r>
    </w:p>
    <w:p w14:paraId="5153BFFC" w14:textId="0F3F5DBE" w:rsidR="005928DC" w:rsidRDefault="005928DC" w:rsidP="005928DC">
      <w:pPr>
        <w:pStyle w:val="aa"/>
        <w:numPr>
          <w:ilvl w:val="0"/>
          <w:numId w:val="42"/>
        </w:numPr>
      </w:pPr>
      <w:r>
        <w:t>Proposal: OTA BS Tx spurious emission requirements for co-location shall not be specified. (</w:t>
      </w:r>
      <w:r w:rsidR="006157AA">
        <w:t>Coloured green in chairman’s notes but it doesn’t specifically say agreed, as TP is agreed next meeting assume this was an agreement</w:t>
      </w:r>
      <w:r>
        <w:t>)</w:t>
      </w:r>
    </w:p>
    <w:p w14:paraId="2A6CB6AB" w14:textId="032AFBDF" w:rsidR="00860044" w:rsidRDefault="00860044" w:rsidP="00860044">
      <w:pPr>
        <w:pStyle w:val="aa"/>
        <w:ind w:left="284" w:firstLine="0"/>
      </w:pPr>
      <w:r w:rsidRPr="00860044">
        <w:t>R4-1804248</w:t>
      </w:r>
      <w:r w:rsidRPr="00860044">
        <w:tab/>
        <w:t>TP to TR 38.817-02: NR BS out-of-band blocking requirements for FR2 (10.6)</w:t>
      </w:r>
    </w:p>
    <w:p w14:paraId="230D4027" w14:textId="5104B912" w:rsidR="00860044" w:rsidRDefault="00860044" w:rsidP="00860044">
      <w:pPr>
        <w:pStyle w:val="aa"/>
        <w:numPr>
          <w:ilvl w:val="0"/>
          <w:numId w:val="43"/>
        </w:numPr>
      </w:pPr>
      <w:r w:rsidRPr="00860044">
        <w:t>For BS co-location in FR2 bands, we consider the starting point should be network synchronization, because the feasibility for BS filter design to accommodate the stringent co-location blocking interfering signal level is yet to be studied. Besides, it would not be straightforward to decide a suitable interfering signal level, as the proposed value in [2] is obtained based on a certain set of parameters (e.g. BS output power) which may not be valid in other co-location scenarios. Moreover, the general OOBB requirement specified using the proposals in the previous section would provide some requirement coverage in the out-of-band frequency range with other 3GPP systems, and specific OOBB requirement can be specified per band if required. Therefore, we propose not to specify co-location blocking requirement.</w:t>
      </w:r>
    </w:p>
    <w:p w14:paraId="3D3CBFCE" w14:textId="5CB23B6B" w:rsidR="00860044" w:rsidRDefault="00860044" w:rsidP="00860044">
      <w:pPr>
        <w:pStyle w:val="aa"/>
        <w:numPr>
          <w:ilvl w:val="0"/>
          <w:numId w:val="43"/>
        </w:numPr>
      </w:pPr>
      <w:r w:rsidRPr="00860044">
        <w:t>Proposal 6: Not to specify co-location blocking requirement.</w:t>
      </w:r>
      <w:r>
        <w:tab/>
        <w:t>AGREED</w:t>
      </w:r>
    </w:p>
    <w:p w14:paraId="22CFE8D5" w14:textId="09AEDF72" w:rsidR="00860044" w:rsidRDefault="00860044" w:rsidP="00860044">
      <w:pPr>
        <w:pStyle w:val="aa"/>
      </w:pPr>
      <w:r w:rsidRPr="00860044">
        <w:t>R4-1805814</w:t>
      </w:r>
      <w:r>
        <w:t xml:space="preserve"> - </w:t>
      </w:r>
      <w:r w:rsidRPr="00860044">
        <w:t>WF on NR BS out-of-band blocking requirement for FR2</w:t>
      </w:r>
    </w:p>
    <w:p w14:paraId="00269476" w14:textId="2549C98E" w:rsidR="00860044" w:rsidRDefault="00860044" w:rsidP="00860044">
      <w:pPr>
        <w:pStyle w:val="aa"/>
        <w:numPr>
          <w:ilvl w:val="0"/>
          <w:numId w:val="44"/>
        </w:numPr>
      </w:pPr>
      <w:r>
        <w:t>RAN4 agreed to not specify FR2 to FR2 co-location receiver out-of-band blocking requirements.</w:t>
      </w:r>
    </w:p>
    <w:p w14:paraId="748173F1" w14:textId="4D77CED8" w:rsidR="00860044" w:rsidRPr="006157AA" w:rsidRDefault="006157AA" w:rsidP="00860044">
      <w:pPr>
        <w:pStyle w:val="aa"/>
        <w:ind w:left="0" w:firstLine="0"/>
        <w:rPr>
          <w:b/>
        </w:rPr>
      </w:pPr>
      <w:r w:rsidRPr="006157AA">
        <w:rPr>
          <w:b/>
        </w:rPr>
        <w:t>RAN4#87 (May 2018)</w:t>
      </w:r>
    </w:p>
    <w:p w14:paraId="3B006E16" w14:textId="0CFBFB4D" w:rsidR="006157AA" w:rsidRDefault="006157AA" w:rsidP="006157AA">
      <w:pPr>
        <w:pStyle w:val="aa"/>
        <w:ind w:left="284" w:firstLine="0"/>
      </w:pPr>
      <w:r w:rsidRPr="006157AA">
        <w:t>R4-1807871</w:t>
      </w:r>
      <w:r>
        <w:t xml:space="preserve"> - </w:t>
      </w:r>
      <w:r w:rsidRPr="006157AA">
        <w:t>TP to TR 38.817-02: Update of clause 9.7.5.1 OTA Transmitter spurious emissions for co-location.</w:t>
      </w:r>
    </w:p>
    <w:p w14:paraId="39E46B2D" w14:textId="2FB49712" w:rsidR="006157AA" w:rsidRDefault="006157AA" w:rsidP="006157AA">
      <w:pPr>
        <w:pStyle w:val="aa"/>
        <w:numPr>
          <w:ilvl w:val="0"/>
          <w:numId w:val="45"/>
        </w:numPr>
      </w:pPr>
      <w:r>
        <w:t>TP capturing agreement not to specify co-location emissions</w:t>
      </w:r>
    </w:p>
    <w:p w14:paraId="3E146249" w14:textId="2F0B4EB5" w:rsidR="00332676" w:rsidRDefault="00332676" w:rsidP="00332676">
      <w:pPr>
        <w:pStyle w:val="aa"/>
      </w:pPr>
    </w:p>
    <w:p w14:paraId="63320A44" w14:textId="5DA61855" w:rsidR="00332676" w:rsidRDefault="00332676" w:rsidP="00332676">
      <w:pPr>
        <w:pStyle w:val="aa"/>
        <w:ind w:left="0" w:firstLine="0"/>
      </w:pPr>
      <w:r>
        <w:t>Based on the available information it is not extremely clear on the technical background behind not specifying co-location requirements but ultimately consensus was reached that they were not necessary. Some points to note are:</w:t>
      </w:r>
    </w:p>
    <w:p w14:paraId="4EB51286" w14:textId="234B35B7" w:rsidR="00332676" w:rsidRDefault="00332676" w:rsidP="00332676">
      <w:pPr>
        <w:pStyle w:val="aa"/>
        <w:numPr>
          <w:ilvl w:val="0"/>
          <w:numId w:val="46"/>
        </w:numPr>
      </w:pPr>
      <w:r>
        <w:t>FR1 to FR2 co-location was calculated to be mathematically not an issue due to high isolation – as the same was not shown for FR2-FR2 we can assume it is not mathematically impossible (based on known data)</w:t>
      </w:r>
    </w:p>
    <w:p w14:paraId="696B065E" w14:textId="0C287FD3" w:rsidR="00332676" w:rsidRDefault="00332676" w:rsidP="00332676">
      <w:pPr>
        <w:pStyle w:val="aa"/>
        <w:numPr>
          <w:ilvl w:val="0"/>
          <w:numId w:val="46"/>
        </w:numPr>
      </w:pPr>
      <w:r>
        <w:t xml:space="preserve">It is not clear how FR2 co-location would be specified (FR1 uses a Co-location reference antenna) or tested FR1 uses a co-location test antenna), high isolations, lower power and wider BW’s make measuring FR2 more difficult, this difficultly factored into the decision. </w:t>
      </w:r>
    </w:p>
    <w:p w14:paraId="08BC70DC" w14:textId="03374484" w:rsidR="00332676" w:rsidRDefault="00332676" w:rsidP="00332676">
      <w:pPr>
        <w:pStyle w:val="aa"/>
        <w:numPr>
          <w:ilvl w:val="0"/>
          <w:numId w:val="46"/>
        </w:numPr>
      </w:pPr>
      <w:r>
        <w:t>Band filtering for FR2 is more difficult than FR1 and it is believed tight filtering would be difficult if co-located bands were close in frequency</w:t>
      </w:r>
    </w:p>
    <w:p w14:paraId="59B2947D" w14:textId="111BC19D" w:rsidR="00332676" w:rsidRDefault="00332676" w:rsidP="00332676">
      <w:pPr>
        <w:pStyle w:val="aa"/>
        <w:numPr>
          <w:ilvl w:val="0"/>
          <w:numId w:val="46"/>
        </w:numPr>
      </w:pPr>
      <w:r>
        <w:lastRenderedPageBreak/>
        <w:t>Synchronisation between bands to avoid the need for co-location was suggested (this would obviously work but was not agreed)</w:t>
      </w:r>
    </w:p>
    <w:p w14:paraId="70DF5436" w14:textId="7F9262EC" w:rsidR="00946D4B" w:rsidRPr="00D37794" w:rsidRDefault="00946D4B" w:rsidP="00332676">
      <w:pPr>
        <w:pStyle w:val="aa"/>
        <w:numPr>
          <w:ilvl w:val="0"/>
          <w:numId w:val="46"/>
        </w:numPr>
      </w:pPr>
      <w:r>
        <w:t>It is discussed that co-location can be dealt with as a regional requirement if necessary.</w:t>
      </w:r>
    </w:p>
    <w:p w14:paraId="27E3D2EA" w14:textId="43FF3905" w:rsidR="00946D4B" w:rsidRDefault="00946D4B" w:rsidP="00946D4B">
      <w:pPr>
        <w:pStyle w:val="10"/>
        <w:rPr>
          <w:rFonts w:cs="Arial"/>
        </w:rPr>
      </w:pPr>
      <w:r>
        <w:rPr>
          <w:rFonts w:cs="Arial"/>
        </w:rPr>
        <w:t>2 Discussion</w:t>
      </w:r>
    </w:p>
    <w:p w14:paraId="313B3FAC" w14:textId="05427C85" w:rsidR="00946D4B" w:rsidRDefault="00946D4B" w:rsidP="0039210F">
      <w:pPr>
        <w:pStyle w:val="Heading2Head2A2"/>
      </w:pPr>
      <w:r>
        <w:t>2.1 MB-BS</w:t>
      </w:r>
    </w:p>
    <w:p w14:paraId="62AFA22D" w14:textId="5A82DA23" w:rsidR="00946D4B" w:rsidRDefault="00946D4B" w:rsidP="00946D4B">
      <w:r>
        <w:t xml:space="preserve">Co-location is not specifically an MB-MS issue, in fact as to work a MB-BS must have the 2 bands synchronised co-location </w:t>
      </w:r>
      <w:r w:rsidR="00A95AD5">
        <w:t>is</w:t>
      </w:r>
      <w:r>
        <w:t xml:space="preserve"> not really relevant. However, it does clearly indicate that it is likely 2 (or more) bands will be used in the same geographical area and it is also of course likely they may be co-located.</w:t>
      </w:r>
      <w:r w:rsidR="0039210F">
        <w:t xml:space="preserve"> As such it is worth checking if this assumption is contrary to the reasoning used to not include co-existence and co-location in the FR2 requirements.</w:t>
      </w:r>
    </w:p>
    <w:p w14:paraId="2EDD13F0" w14:textId="6925E4D4" w:rsidR="0039210F" w:rsidRDefault="0039210F" w:rsidP="00946D4B">
      <w:r>
        <w:t>As there are no definitive agreements as to the reason why the requirements were excluded only that they were it is not easy to see if anything has changed, however:</w:t>
      </w:r>
    </w:p>
    <w:p w14:paraId="68F74E39" w14:textId="56C06B31" w:rsidR="0039210F" w:rsidRDefault="0039210F" w:rsidP="004F06FA">
      <w:pPr>
        <w:ind w:left="284"/>
      </w:pPr>
      <w:r>
        <w:t>There is some indication that the exclusion of these types of requirements was made for the deployment scenario at the time of 1</w:t>
      </w:r>
      <w:r w:rsidRPr="0039210F">
        <w:rPr>
          <w:vertAlign w:val="superscript"/>
        </w:rPr>
        <w:t>st</w:t>
      </w:r>
      <w:r>
        <w:t xml:space="preserve"> release (</w:t>
      </w:r>
      <w:r w:rsidRPr="005928DC">
        <w:t>R4-1713300</w:t>
      </w:r>
      <w:r>
        <w:t xml:space="preserve">). </w:t>
      </w:r>
    </w:p>
    <w:p w14:paraId="55804235" w14:textId="0686C63C" w:rsidR="00946D4B" w:rsidRDefault="0039210F" w:rsidP="004F06FA">
      <w:pPr>
        <w:ind w:left="284"/>
      </w:pPr>
      <w:r>
        <w:t>In addition it is stated a number of times that if co-existence/co-location issues do occur it can be dealt with as a regional issue. This is perhaps a suitable solution if there are very few instances of multiple FR2 operating bands in the same geographical area but as this becomes more widespread it is perhaps better to deal with it inside the 3GPP requirements.</w:t>
      </w:r>
    </w:p>
    <w:p w14:paraId="50C11E60" w14:textId="666464AF" w:rsidR="0039210F" w:rsidRDefault="0039210F" w:rsidP="004F06FA">
      <w:pPr>
        <w:ind w:left="284"/>
      </w:pPr>
      <w:r>
        <w:t>Lastly using synchronisation to prevent any issues is still of course a good technical solution but it is not clear if this is possible in FR2 any more than it is in FR1?</w:t>
      </w:r>
    </w:p>
    <w:p w14:paraId="34776FCE" w14:textId="41777B81" w:rsidR="0039210F" w:rsidRDefault="004F06FA" w:rsidP="00946D4B">
      <w:r>
        <w:t>Certainly even if RAN4 maintains that there is no need for co-existence / co-location requirements in the requirements at this time it is sensible to provide more information in the TR as to if precautions need to be taken when multiple FR2 bands are deployed together or if the system is immune to any potential interference between the systems.</w:t>
      </w:r>
    </w:p>
    <w:p w14:paraId="1FC9DF21" w14:textId="12440913" w:rsidR="004F06FA" w:rsidRDefault="004F06FA" w:rsidP="002C56B3">
      <w:pPr>
        <w:pStyle w:val="Heading2Head2A2"/>
      </w:pPr>
      <w:r>
        <w:t>2.2</w:t>
      </w:r>
      <w:r>
        <w:tab/>
        <w:t>Analysis</w:t>
      </w:r>
    </w:p>
    <w:p w14:paraId="571CE981" w14:textId="5E335CF5" w:rsidR="004F06FA" w:rsidRDefault="004F06FA" w:rsidP="002C56B3">
      <w:pPr>
        <w:pStyle w:val="3"/>
      </w:pPr>
      <w:r>
        <w:t>2.2.1</w:t>
      </w:r>
      <w:r>
        <w:tab/>
        <w:t>Co-location emissions</w:t>
      </w:r>
    </w:p>
    <w:p w14:paraId="737066CD" w14:textId="1873C873" w:rsidR="004F06FA" w:rsidRDefault="004F06FA" w:rsidP="004F06FA">
      <w:r>
        <w:t>Using information from previously presented isolation studies [</w:t>
      </w:r>
      <w:r w:rsidRPr="004F06FA">
        <w:t>R4-1706766, R4-1704951</w:t>
      </w:r>
      <w:r>
        <w:t>] we can assume that 2 co-located FR2 antennas have approx. 70dB isolation between 2 hypothetical conducted ports. A wide area FR2 BS with a declared EIS of -119dBm/50MHz is assumed to have an antenna gain of 33dBi.</w:t>
      </w:r>
    </w:p>
    <w:p w14:paraId="5F9D8ED1" w14:textId="514EBA41" w:rsidR="004F06FA" w:rsidRDefault="004F06FA" w:rsidP="00946D4B"/>
    <w:p w14:paraId="7A058791" w14:textId="3F869575" w:rsidR="004F06FA" w:rsidRDefault="004F06FA" w:rsidP="00946D4B">
      <w:r w:rsidRPr="004F06FA">
        <w:rPr>
          <w:noProof/>
          <w:lang w:val="en-US" w:eastAsia="zh-CN"/>
        </w:rPr>
        <w:drawing>
          <wp:inline distT="0" distB="0" distL="0" distR="0" wp14:anchorId="45AE1192" wp14:editId="28C065F7">
            <wp:extent cx="6122035" cy="21655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165514"/>
                    </a:xfrm>
                    <a:prstGeom prst="rect">
                      <a:avLst/>
                    </a:prstGeom>
                    <a:noFill/>
                    <a:ln>
                      <a:noFill/>
                    </a:ln>
                  </pic:spPr>
                </pic:pic>
              </a:graphicData>
            </a:graphic>
          </wp:inline>
        </w:drawing>
      </w:r>
    </w:p>
    <w:p w14:paraId="29207A21" w14:textId="20389CA1" w:rsidR="004F06FA" w:rsidRDefault="004F06FA" w:rsidP="00946D4B">
      <w:r>
        <w:t>If we assume a 10dB sensitivity margin the acceptable level of interferer in the receive band is:</w:t>
      </w:r>
    </w:p>
    <w:p w14:paraId="36DD9924" w14:textId="468E275C" w:rsidR="004F06FA" w:rsidRPr="005823E0" w:rsidRDefault="00253AAD" w:rsidP="00946D4B">
      <m:oMathPara>
        <m:oMath>
          <m:sSub>
            <m:sSubPr>
              <m:ctrlPr>
                <w:rPr>
                  <w:rFonts w:ascii="Cambria Math" w:hAnsi="Cambria Math"/>
                  <w:i/>
                </w:rPr>
              </m:ctrlPr>
            </m:sSubPr>
            <m:e>
              <m:r>
                <w:rPr>
                  <w:rFonts w:ascii="Cambria Math" w:hAnsi="Cambria Math"/>
                </w:rPr>
                <m:t>P</m:t>
              </m:r>
            </m:e>
            <m:sub>
              <m:r>
                <w:rPr>
                  <w:rFonts w:ascii="Cambria Math" w:hAnsi="Cambria Math"/>
                </w:rPr>
                <m:t>INT</m:t>
              </m:r>
            </m:sub>
          </m:sSub>
          <m:r>
            <w:rPr>
              <w:rFonts w:ascii="Cambria Math" w:hAnsi="Cambria Math"/>
            </w:rPr>
            <m:t>=-119dBm-10dB+33dBi+70=-26dBm / 50MHz</m:t>
          </m:r>
        </m:oMath>
      </m:oMathPara>
    </w:p>
    <w:p w14:paraId="308A6292" w14:textId="563B48C7" w:rsidR="005823E0" w:rsidRDefault="00253AAD" w:rsidP="005823E0">
      <m:oMathPara>
        <m:oMath>
          <m:sSub>
            <m:sSubPr>
              <m:ctrlPr>
                <w:rPr>
                  <w:rFonts w:ascii="Cambria Math" w:hAnsi="Cambria Math"/>
                  <w:i/>
                </w:rPr>
              </m:ctrlPr>
            </m:sSubPr>
            <m:e>
              <m:r>
                <w:rPr>
                  <w:rFonts w:ascii="Cambria Math" w:hAnsi="Cambria Math"/>
                </w:rPr>
                <m:t>P</m:t>
              </m:r>
            </m:e>
            <m:sub>
              <m:r>
                <w:rPr>
                  <w:rFonts w:ascii="Cambria Math" w:hAnsi="Cambria Math"/>
                </w:rPr>
                <m:t>INT</m:t>
              </m:r>
            </m:sub>
          </m:sSub>
          <m:r>
            <w:rPr>
              <w:rFonts w:ascii="Cambria Math" w:hAnsi="Cambria Math"/>
            </w:rPr>
            <m:t>=-33dBm / 10MHz</m:t>
          </m:r>
        </m:oMath>
      </m:oMathPara>
    </w:p>
    <w:p w14:paraId="7E41774B" w14:textId="4B883EC6" w:rsidR="005823E0" w:rsidRPr="005823E0" w:rsidRDefault="005823E0" w:rsidP="00946D4B">
      <w:r>
        <w:t>The existing regulatory requirement outside the operating band for CAT B is -15dBm/10MHz. As such it seems additional reduction of emission may be required to prevent desensitisation of a co-located receiver.</w:t>
      </w:r>
    </w:p>
    <w:p w14:paraId="1E6AD342" w14:textId="6E59846B" w:rsidR="004F06FA" w:rsidRDefault="005823E0" w:rsidP="002C56B3">
      <w:pPr>
        <w:pStyle w:val="3"/>
      </w:pPr>
      <w:r>
        <w:t>2.2.2</w:t>
      </w:r>
      <w:r>
        <w:tab/>
        <w:t>Co-existence emissions</w:t>
      </w:r>
    </w:p>
    <w:p w14:paraId="65436642" w14:textId="794463F1" w:rsidR="005823E0" w:rsidRDefault="005823E0" w:rsidP="00946D4B">
      <w:r>
        <w:t>Co-existence refers to having 2 FR2 bands in the same geographical area but not co-located.</w:t>
      </w:r>
    </w:p>
    <w:p w14:paraId="07F2928F" w14:textId="40009858" w:rsidR="005823E0" w:rsidRDefault="005823E0" w:rsidP="00946D4B">
      <w:r>
        <w:t>Interestingly blocking tends to use the co-existence case to define the out of band blocking requirements but it does not refer to them explicitly as such. However it means there is a co-existence scenario defined which we can use to examine emissions.</w:t>
      </w:r>
    </w:p>
    <w:p w14:paraId="7F01CFA7" w14:textId="45418C81" w:rsidR="005823E0" w:rsidRDefault="005823E0" w:rsidP="00946D4B">
      <w:r>
        <w:t>A same geographical area BS is assumed to be at least 200m away and the antenna has down tilt which reduces it gain by 13dB when looking at another BS of similar elevation.</w:t>
      </w:r>
    </w:p>
    <w:p w14:paraId="332F0CC4" w14:textId="7EB80C6C" w:rsidR="005823E0" w:rsidRDefault="005823E0" w:rsidP="00946D4B">
      <w:r>
        <w:t>Assuming 28GHz and a wide area BS with a declared EIS of -119dBm.</w:t>
      </w:r>
    </w:p>
    <w:p w14:paraId="00C67AD4" w14:textId="7A415EA2" w:rsidR="005823E0" w:rsidRDefault="005823E0" w:rsidP="00946D4B">
      <w:r>
        <w:t>If the emissions level is the CAT B level of -15dBm/10MHz, then:</w:t>
      </w:r>
    </w:p>
    <w:p w14:paraId="71A24D71" w14:textId="689ABAF1" w:rsidR="005823E0" w:rsidRPr="005823E0" w:rsidRDefault="00253AAD" w:rsidP="005823E0">
      <m:oMathPara>
        <m:oMath>
          <m:sSub>
            <m:sSubPr>
              <m:ctrlPr>
                <w:rPr>
                  <w:rFonts w:ascii="Cambria Math" w:hAnsi="Cambria Math"/>
                  <w:i/>
                </w:rPr>
              </m:ctrlPr>
            </m:sSubPr>
            <m:e>
              <m:r>
                <w:rPr>
                  <w:rFonts w:ascii="Cambria Math" w:hAnsi="Cambria Math"/>
                </w:rPr>
                <m:t>P</m:t>
              </m:r>
            </m:e>
            <m:sub>
              <m:r>
                <w:rPr>
                  <w:rFonts w:ascii="Cambria Math" w:hAnsi="Cambria Math"/>
                </w:rPr>
                <m:t>INT</m:t>
              </m:r>
            </m:sub>
          </m:sSub>
          <m:r>
            <w:rPr>
              <w:rFonts w:ascii="Cambria Math" w:hAnsi="Cambria Math"/>
            </w:rPr>
            <m:t>=-15dBm-10*log10</m:t>
          </m:r>
          <m:d>
            <m:dPr>
              <m:ctrlPr>
                <w:rPr>
                  <w:rFonts w:ascii="Cambria Math" w:hAnsi="Cambria Math"/>
                  <w:i/>
                </w:rPr>
              </m:ctrlPr>
            </m:dPr>
            <m:e>
              <m:r>
                <w:rPr>
                  <w:rFonts w:ascii="Cambria Math" w:hAnsi="Cambria Math"/>
                </w:rPr>
                <m:t>5</m:t>
              </m:r>
            </m:e>
          </m:d>
          <m:r>
            <w:rPr>
              <w:rFonts w:ascii="Cambria Math" w:hAnsi="Cambria Math"/>
            </w:rPr>
            <m:t>dB+33dBi-13-20*log10</m:t>
          </m:r>
          <m:d>
            <m:dPr>
              <m:ctrlPr>
                <w:rPr>
                  <w:rFonts w:ascii="Cambria Math" w:hAnsi="Cambria Math"/>
                  <w:i/>
                </w:rPr>
              </m:ctrlPr>
            </m:dPr>
            <m:e>
              <m:r>
                <w:rPr>
                  <w:rFonts w:ascii="Cambria Math" w:hAnsi="Cambria Math"/>
                </w:rPr>
                <m:t>4π*200*</m:t>
              </m:r>
              <m:f>
                <m:fPr>
                  <m:ctrlPr>
                    <w:rPr>
                      <w:rFonts w:ascii="Cambria Math" w:hAnsi="Cambria Math"/>
                      <w:i/>
                    </w:rPr>
                  </m:ctrlPr>
                </m:fPr>
                <m:num>
                  <m:r>
                    <w:rPr>
                      <w:rFonts w:ascii="Cambria Math" w:hAnsi="Cambria Math"/>
                    </w:rPr>
                    <m:t>28GHz</m:t>
                  </m:r>
                </m:num>
                <m:den>
                  <m:r>
                    <w:rPr>
                      <w:rFonts w:ascii="Cambria Math" w:hAnsi="Cambria Math"/>
                    </w:rPr>
                    <m:t>c</m:t>
                  </m:r>
                </m:den>
              </m:f>
            </m:e>
          </m:d>
          <m:r>
            <w:rPr>
              <w:rFonts w:ascii="Cambria Math" w:hAnsi="Cambria Math"/>
            </w:rPr>
            <m:t>-13=-108.4dBm / 50MHz</m:t>
          </m:r>
        </m:oMath>
      </m:oMathPara>
    </w:p>
    <w:p w14:paraId="53D2F938" w14:textId="44C55C43" w:rsidR="005823E0" w:rsidRDefault="005823E0" w:rsidP="00946D4B">
      <w:r>
        <w:t>On</w:t>
      </w:r>
      <w:r w:rsidR="00A47A22">
        <w:t>ce again this is higher tha</w:t>
      </w:r>
      <w:r>
        <w:t xml:space="preserve">n the required sensitivity of -119dBm so would cause desensitisation of the victim receiver. Assuming once again that </w:t>
      </w:r>
      <w:r w:rsidR="00AF5CB3">
        <w:t>10dB sensitivity margin is required the emissions level is approx. 20dB out of spec.</w:t>
      </w:r>
    </w:p>
    <w:p w14:paraId="7D986D84" w14:textId="2B6487CB" w:rsidR="00AF5CB3" w:rsidRDefault="00AF5CB3" w:rsidP="00946D4B">
      <w:r>
        <w:t xml:space="preserve">At this point it can be noted that both co-location and co-existence require a power level in the other FR2 band of approx. -33dBm/10MHz, as such it is perhaps not necessary to have both a co-existence and a co-location requirement. </w:t>
      </w:r>
    </w:p>
    <w:p w14:paraId="4ABA4FFC" w14:textId="31EF716F" w:rsidR="00AF5CB3" w:rsidRDefault="00AF5CB3" w:rsidP="00946D4B">
      <w:r>
        <w:t>If co-location is not necessary then this gre</w:t>
      </w:r>
      <w:r w:rsidR="002C56B3">
        <w:t>a</w:t>
      </w:r>
      <w:r>
        <w:t>tly simplifies the test scenarios as there is no need for a co-</w:t>
      </w:r>
      <w:r w:rsidR="00A47A22">
        <w:t>location</w:t>
      </w:r>
      <w:r>
        <w:t xml:space="preserve"> test antenna for FR2.</w:t>
      </w:r>
    </w:p>
    <w:p w14:paraId="260AF87B" w14:textId="3BA7AB05" w:rsidR="00AF5CB3" w:rsidRDefault="00AF5CB3" w:rsidP="002C56B3">
      <w:pPr>
        <w:pStyle w:val="3"/>
      </w:pPr>
      <w:r>
        <w:t>2.2.3 Co-location blocking</w:t>
      </w:r>
    </w:p>
    <w:p w14:paraId="197DBE0C" w14:textId="77777777" w:rsidR="00AF5CB3" w:rsidRPr="00AF5CB3" w:rsidRDefault="00AF5CB3" w:rsidP="00AF5CB3">
      <w:r w:rsidRPr="00AF5CB3">
        <w:t>FR2 Co-location blocking is no specifically mentioned in 38.817-2 however there is no FR2 co-location blocking requirement.</w:t>
      </w:r>
    </w:p>
    <w:p w14:paraId="190E62C8" w14:textId="07F0876A" w:rsidR="00AF5CB3" w:rsidRDefault="00AF5CB3" w:rsidP="00AF5CB3">
      <w:r w:rsidRPr="00AF5CB3">
        <w:t>Out of band blocking is given a field strength and calculated as follows:</w:t>
      </w:r>
    </w:p>
    <w:p w14:paraId="790F01F5" w14:textId="777B8D0C" w:rsidR="00AF5CB3" w:rsidRPr="00AF5CB3" w:rsidRDefault="00AF5CB3" w:rsidP="00AF5CB3">
      <m:oMathPara>
        <m:oMathParaPr>
          <m:jc m:val="centerGroup"/>
        </m:oMathParaPr>
        <m:oMath>
          <m:r>
            <w:rPr>
              <w:rFonts w:ascii="Cambria Math" w:hAnsi="Cambria Math"/>
            </w:rPr>
            <m:t>E</m:t>
          </m:r>
          <m:r>
            <m:rPr>
              <m:sty m:val="p"/>
            </m:rPr>
            <w:rPr>
              <w:rFonts w:ascii="Cambria Math" w:hAnsi="Cambria Math"/>
            </w:rPr>
            <m:t>=</m:t>
          </m:r>
          <m:f>
            <m:fPr>
              <m:ctrlPr>
                <w:rPr>
                  <w:rFonts w:ascii="Cambria Math" w:hAnsi="Cambria Math"/>
                  <w:i/>
                  <w:iCs/>
                </w:rPr>
              </m:ctrlPr>
            </m:fPr>
            <m:num>
              <m:rad>
                <m:radPr>
                  <m:degHide m:val="1"/>
                  <m:ctrlPr>
                    <w:rPr>
                      <w:rFonts w:ascii="Cambria Math" w:hAnsi="Cambria Math"/>
                      <w:i/>
                      <w:iCs/>
                    </w:rPr>
                  </m:ctrlPr>
                </m:radPr>
                <m:deg/>
                <m:e>
                  <m:d>
                    <m:dPr>
                      <m:begChr m:val=""/>
                      <m:ctrlPr>
                        <w:rPr>
                          <w:rFonts w:ascii="Cambria Math" w:hAnsi="Cambria Math"/>
                          <w:i/>
                          <w:iCs/>
                        </w:rPr>
                      </m:ctrlPr>
                    </m:dPr>
                    <m:e>
                      <m:r>
                        <m:rPr>
                          <m:sty m:val="p"/>
                        </m:rPr>
                        <w:rPr>
                          <w:rFonts w:ascii="Cambria Math" w:hAnsi="Cambria Math"/>
                        </w:rPr>
                        <m:t>30</m:t>
                      </m:r>
                      <m:r>
                        <w:rPr>
                          <w:rFonts w:ascii="Cambria Math" w:hAnsi="Cambria Math"/>
                        </w:rPr>
                        <m:t>EIRP</m:t>
                      </m:r>
                      <m:r>
                        <m:rPr>
                          <m:sty m:val="p"/>
                        </m:rPr>
                        <w:rPr>
                          <w:rFonts w:ascii="Cambria Math" w:hAnsi="Cambria Math"/>
                        </w:rPr>
                        <m:t>(</m:t>
                      </m:r>
                      <m:r>
                        <w:rPr>
                          <w:rFonts w:ascii="Cambria Math" w:hAnsi="Cambria Math"/>
                        </w:rPr>
                        <m:t>W</m:t>
                      </m:r>
                    </m:e>
                  </m:d>
                </m:e>
              </m:rad>
            </m:num>
            <m:den>
              <m:r>
                <w:rPr>
                  <w:rFonts w:ascii="Cambria Math" w:hAnsi="Cambria Math"/>
                </w:rPr>
                <m:t>d</m:t>
              </m:r>
            </m:den>
          </m:f>
          <m:r>
            <m:rPr>
              <m:sty m:val="p"/>
            </m:rPr>
            <w:rPr>
              <w:rFonts w:ascii="Cambria Math" w:hAnsi="Cambria Math"/>
            </w:rPr>
            <m:t>=</m:t>
          </m:r>
          <m:f>
            <m:fPr>
              <m:ctrlPr>
                <w:rPr>
                  <w:rFonts w:ascii="Cambria Math" w:hAnsi="Cambria Math"/>
                  <w:i/>
                  <w:iCs/>
                </w:rPr>
              </m:ctrlPr>
            </m:fPr>
            <m:num>
              <m:rad>
                <m:radPr>
                  <m:degHide m:val="1"/>
                  <m:ctrlPr>
                    <w:rPr>
                      <w:rFonts w:ascii="Cambria Math" w:hAnsi="Cambria Math"/>
                      <w:i/>
                      <w:iCs/>
                    </w:rPr>
                  </m:ctrlPr>
                </m:radPr>
                <m:deg/>
                <m:e>
                  <m:r>
                    <m:rPr>
                      <m:sty m:val="p"/>
                    </m:rPr>
                    <w:rPr>
                      <w:rFonts w:ascii="Cambria Math" w:hAnsi="Cambria Math"/>
                    </w:rPr>
                    <m:t>30*</m:t>
                  </m:r>
                  <m:sSup>
                    <m:sSupPr>
                      <m:ctrlPr>
                        <w:rPr>
                          <w:rFonts w:ascii="Cambria Math" w:hAnsi="Cambria Math"/>
                          <w:i/>
                          <w:iCs/>
                        </w:rPr>
                      </m:ctrlPr>
                    </m:sSupPr>
                    <m:e>
                      <m:r>
                        <m:rPr>
                          <m:sty m:val="p"/>
                        </m:rPr>
                        <w:rPr>
                          <w:rFonts w:ascii="Cambria Math" w:hAnsi="Cambria Math"/>
                        </w:rPr>
                        <m:t>10</m:t>
                      </m:r>
                    </m:e>
                    <m:sup>
                      <m:f>
                        <m:fPr>
                          <m:ctrlPr>
                            <w:rPr>
                              <w:rFonts w:ascii="Cambria Math" w:hAnsi="Cambria Math"/>
                              <w:i/>
                              <w:iCs/>
                            </w:rPr>
                          </m:ctrlPr>
                        </m:fPr>
                        <m:num>
                          <m:r>
                            <w:rPr>
                              <w:rFonts w:ascii="Cambria Math" w:hAnsi="Cambria Math"/>
                            </w:rPr>
                            <m:t>EIRP</m:t>
                          </m:r>
                          <m:d>
                            <m:dPr>
                              <m:ctrlPr>
                                <w:rPr>
                                  <w:rFonts w:ascii="Cambria Math" w:hAnsi="Cambria Math"/>
                                  <w:i/>
                                  <w:iCs/>
                                </w:rPr>
                              </m:ctrlPr>
                            </m:dPr>
                            <m:e>
                              <m:r>
                                <w:rPr>
                                  <w:rFonts w:ascii="Cambria Math" w:hAnsi="Cambria Math"/>
                                </w:rPr>
                                <m:t>dBW</m:t>
                              </m:r>
                            </m:e>
                          </m:d>
                          <m:r>
                            <m:rPr>
                              <m:sty m:val="p"/>
                            </m:rP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DT</m:t>
                              </m:r>
                            </m:sub>
                          </m:sSub>
                        </m:num>
                        <m:den>
                          <m:r>
                            <m:rPr>
                              <m:sty m:val="p"/>
                            </m:rPr>
                            <w:rPr>
                              <w:rFonts w:ascii="Cambria Math" w:hAnsi="Cambria Math"/>
                            </w:rPr>
                            <m:t>10</m:t>
                          </m:r>
                        </m:den>
                      </m:f>
                    </m:sup>
                  </m:sSup>
                </m:e>
              </m:rad>
            </m:num>
            <m:den>
              <m:r>
                <w:rPr>
                  <w:rFonts w:ascii="Cambria Math" w:hAnsi="Cambria Math"/>
                </w:rPr>
                <m:t>d</m:t>
              </m:r>
            </m:den>
          </m:f>
          <m:r>
            <m:rPr>
              <m:sty m:val="p"/>
            </m:rPr>
            <w:rPr>
              <w:rFonts w:ascii="Cambria Math" w:hAnsi="Cambria Math"/>
            </w:rPr>
            <m:t>=</m:t>
          </m:r>
          <m:f>
            <m:fPr>
              <m:ctrlPr>
                <w:rPr>
                  <w:rFonts w:ascii="Cambria Math" w:hAnsi="Cambria Math"/>
                  <w:i/>
                  <w:iCs/>
                </w:rPr>
              </m:ctrlPr>
            </m:fPr>
            <m:num>
              <m:rad>
                <m:radPr>
                  <m:degHide m:val="1"/>
                  <m:ctrlPr>
                    <w:rPr>
                      <w:rFonts w:ascii="Cambria Math" w:hAnsi="Cambria Math"/>
                      <w:i/>
                      <w:iCs/>
                    </w:rPr>
                  </m:ctrlPr>
                </m:radPr>
                <m:deg/>
                <m:e>
                  <m:r>
                    <m:rPr>
                      <m:sty m:val="p"/>
                    </m:rPr>
                    <w:rPr>
                      <w:rFonts w:ascii="Cambria Math" w:hAnsi="Cambria Math"/>
                    </w:rPr>
                    <m:t>30*</m:t>
                  </m:r>
                  <m:sSup>
                    <m:sSupPr>
                      <m:ctrlPr>
                        <w:rPr>
                          <w:rFonts w:ascii="Cambria Math" w:hAnsi="Cambria Math"/>
                          <w:i/>
                          <w:iCs/>
                        </w:rPr>
                      </m:ctrlPr>
                    </m:sSupPr>
                    <m:e>
                      <m:r>
                        <m:rPr>
                          <m:sty m:val="p"/>
                        </m:rPr>
                        <w:rPr>
                          <w:rFonts w:ascii="Cambria Math" w:hAnsi="Cambria Math"/>
                        </w:rPr>
                        <m:t>10</m:t>
                      </m:r>
                    </m:e>
                    <m:sup>
                      <m:f>
                        <m:fPr>
                          <m:ctrlPr>
                            <w:rPr>
                              <w:rFonts w:ascii="Cambria Math" w:hAnsi="Cambria Math"/>
                              <w:i/>
                              <w:iCs/>
                            </w:rPr>
                          </m:ctrlPr>
                        </m:fPr>
                        <m:num>
                          <m:d>
                            <m:dPr>
                              <m:ctrlPr>
                                <w:rPr>
                                  <w:rFonts w:ascii="Cambria Math" w:hAnsi="Cambria Math"/>
                                  <w:i/>
                                  <w:iCs/>
                                </w:rPr>
                              </m:ctrlPr>
                            </m:dPr>
                            <m:e>
                              <m:r>
                                <m:rPr>
                                  <m:sty m:val="p"/>
                                </m:rPr>
                                <w:rPr>
                                  <w:rFonts w:ascii="Cambria Math" w:hAnsi="Cambria Math"/>
                                </w:rPr>
                                <m:t>55-30</m:t>
                              </m:r>
                            </m:e>
                          </m:d>
                          <m:r>
                            <m:rPr>
                              <m:sty m:val="p"/>
                            </m:rPr>
                            <w:rPr>
                              <w:rFonts w:ascii="Cambria Math" w:hAnsi="Cambria Math"/>
                            </w:rPr>
                            <m:t>-13</m:t>
                          </m:r>
                        </m:num>
                        <m:den>
                          <m:r>
                            <m:rPr>
                              <m:sty m:val="p"/>
                            </m:rPr>
                            <w:rPr>
                              <w:rFonts w:ascii="Cambria Math" w:hAnsi="Cambria Math"/>
                            </w:rPr>
                            <m:t>10</m:t>
                          </m:r>
                        </m:den>
                      </m:f>
                    </m:sup>
                  </m:sSup>
                </m:e>
              </m:rad>
            </m:num>
            <m:den>
              <m:r>
                <m:rPr>
                  <m:sty m:val="p"/>
                </m:rPr>
                <w:rPr>
                  <w:rFonts w:ascii="Cambria Math" w:hAnsi="Cambria Math"/>
                </w:rPr>
                <m:t>200</m:t>
              </m:r>
            </m:den>
          </m:f>
          <m:r>
            <m:rPr>
              <m:sty m:val="p"/>
            </m:rPr>
            <w:rPr>
              <w:rFonts w:ascii="Cambria Math" w:hAnsi="Cambria Math"/>
            </w:rPr>
            <m:t>=0.1</m:t>
          </m:r>
          <m:f>
            <m:fPr>
              <m:type m:val="lin"/>
              <m:ctrlPr>
                <w:rPr>
                  <w:rFonts w:ascii="Cambria Math" w:hAnsi="Cambria Math"/>
                  <w:i/>
                  <w:iCs/>
                </w:rPr>
              </m:ctrlPr>
            </m:fPr>
            <m:num>
              <m:r>
                <w:rPr>
                  <w:rFonts w:ascii="Cambria Math" w:hAnsi="Cambria Math"/>
                </w:rPr>
                <m:t>V</m:t>
              </m:r>
            </m:num>
            <m:den>
              <m:r>
                <w:rPr>
                  <w:rFonts w:ascii="Cambria Math" w:hAnsi="Cambria Math"/>
                </w:rPr>
                <m:t>m</m:t>
              </m:r>
            </m:den>
          </m:f>
        </m:oMath>
      </m:oMathPara>
    </w:p>
    <w:p w14:paraId="1A4C78DB" w14:textId="354D5FFB" w:rsidR="00AF5CB3" w:rsidRPr="00AF5CB3" w:rsidRDefault="00AF5CB3" w:rsidP="00AF5CB3">
      <w:r w:rsidRPr="00AF5CB3">
        <w:t xml:space="preserve">Converting the </w:t>
      </w:r>
      <w:r>
        <w:t xml:space="preserve">existing </w:t>
      </w:r>
      <w:r w:rsidRPr="00AF5CB3">
        <w:t>field strength requirement</w:t>
      </w:r>
      <w:r>
        <w:t xml:space="preserve"> (from co-existence case)</w:t>
      </w:r>
      <w:r w:rsidRPr="00AF5CB3">
        <w:t xml:space="preserve"> to an equivalent conducted blocking level assuming 20dBi receive antenna gain (for the co-existence case this calculation was developed for this is 33dBi gain with 13dB down tilt) we have:</w:t>
      </w:r>
    </w:p>
    <w:p w14:paraId="2FC4E181" w14:textId="66260227" w:rsidR="00AF5CB3" w:rsidRDefault="00AF5CB3" w:rsidP="00AF5CB3">
      <w:r w:rsidRPr="00AF5CB3">
        <w:rPr>
          <w:noProof/>
          <w:lang w:val="en-US" w:eastAsia="zh-CN"/>
        </w:rPr>
        <w:drawing>
          <wp:inline distT="0" distB="0" distL="0" distR="0" wp14:anchorId="334EC9A6" wp14:editId="43A68415">
            <wp:extent cx="3800724" cy="18791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08415" cy="1882969"/>
                    </a:xfrm>
                    <a:prstGeom prst="rect">
                      <a:avLst/>
                    </a:prstGeom>
                    <a:noFill/>
                    <a:ln>
                      <a:noFill/>
                    </a:ln>
                  </pic:spPr>
                </pic:pic>
              </a:graphicData>
            </a:graphic>
          </wp:inline>
        </w:drawing>
      </w:r>
    </w:p>
    <w:p w14:paraId="7FD03673" w14:textId="62F21B99" w:rsidR="00AF5CB3" w:rsidRPr="00AF5CB3" w:rsidRDefault="00AF5CB3" w:rsidP="00AF5CB3">
      <w:proofErr w:type="spellStart"/>
      <w:r w:rsidRPr="00AF5CB3">
        <w:lastRenderedPageBreak/>
        <w:t>Pcond</w:t>
      </w:r>
      <w:proofErr w:type="spellEnd"/>
      <m:oMath>
        <m:r>
          <m:rPr>
            <m:sty m:val="p"/>
          </m:rPr>
          <w:rPr>
            <w:rFonts w:ascii="Cambria Math" w:hAnsi="Cambria Math"/>
          </w:rPr>
          <m:t>=</m:t>
        </m:r>
        <m:r>
          <w:rPr>
            <w:rFonts w:ascii="Cambria Math" w:hAnsi="Cambria Math"/>
          </w:rPr>
          <m:t>EIRP-DT-FSPL</m:t>
        </m:r>
        <m:d>
          <m:dPr>
            <m:ctrlPr>
              <w:rPr>
                <w:rFonts w:ascii="Cambria Math" w:hAnsi="Cambria Math"/>
                <w:i/>
                <w:iCs/>
              </w:rPr>
            </m:ctrlPr>
          </m:dPr>
          <m:e>
            <m:r>
              <w:rPr>
                <w:rFonts w:ascii="Cambria Math" w:hAnsi="Cambria Math"/>
              </w:rPr>
              <m:t>200m</m:t>
            </m:r>
          </m:e>
        </m:d>
        <m:r>
          <w:rPr>
            <w:rFonts w:ascii="Cambria Math" w:hAnsi="Cambria Math"/>
          </w:rPr>
          <m:t>+</m:t>
        </m:r>
        <m:sSub>
          <m:sSubPr>
            <m:ctrlPr>
              <w:rPr>
                <w:rFonts w:ascii="Cambria Math" w:hAnsi="Cambria Math"/>
                <w:i/>
                <w:iCs/>
              </w:rPr>
            </m:ctrlPr>
          </m:sSubPr>
          <m:e>
            <m:r>
              <w:rPr>
                <w:rFonts w:ascii="Cambria Math" w:hAnsi="Cambria Math"/>
              </w:rPr>
              <m:t>G</m:t>
            </m:r>
          </m:e>
          <m:sub>
            <m:r>
              <w:rPr>
                <w:rFonts w:ascii="Cambria Math" w:hAnsi="Cambria Math"/>
              </w:rPr>
              <m:t>AN</m:t>
            </m:r>
            <m:sSub>
              <m:sSubPr>
                <m:ctrlPr>
                  <w:rPr>
                    <w:rFonts w:ascii="Cambria Math" w:hAnsi="Cambria Math"/>
                    <w:i/>
                    <w:iCs/>
                  </w:rPr>
                </m:ctrlPr>
              </m:sSubPr>
              <m:e>
                <m:r>
                  <w:rPr>
                    <w:rFonts w:ascii="Cambria Math" w:hAnsi="Cambria Math"/>
                  </w:rPr>
                  <m:t>T</m:t>
                </m:r>
              </m:e>
              <m:sub>
                <m:r>
                  <w:rPr>
                    <w:rFonts w:ascii="Cambria Math" w:hAnsi="Cambria Math"/>
                  </w:rPr>
                  <m:t>RX</m:t>
                </m:r>
              </m:sub>
            </m:sSub>
          </m:sub>
        </m:sSub>
        <m:r>
          <w:rPr>
            <w:rFonts w:ascii="Cambria Math" w:hAnsi="Cambria Math"/>
          </w:rPr>
          <m:t>-DT=55-13-107.4+33-13=-45.4dBm </m:t>
        </m:r>
      </m:oMath>
    </w:p>
    <w:p w14:paraId="0BB5BCB6" w14:textId="77777777" w:rsidR="00AF5CB3" w:rsidRPr="00AF5CB3" w:rsidRDefault="00AF5CB3" w:rsidP="00AF5CB3">
      <w:r w:rsidRPr="00AF5CB3">
        <w:t>Using the measured port to port isolation of 70dBc we have:</w:t>
      </w:r>
    </w:p>
    <w:p w14:paraId="0B2090B6" w14:textId="657CB02C" w:rsidR="00AF5CB3" w:rsidRPr="00AF5CB3" w:rsidRDefault="00AF5CB3" w:rsidP="00AF5CB3">
      <w:r w:rsidRPr="00AF5CB3">
        <w:rPr>
          <w:noProof/>
          <w:lang w:val="en-US" w:eastAsia="zh-CN"/>
        </w:rPr>
        <w:drawing>
          <wp:inline distT="0" distB="0" distL="0" distR="0" wp14:anchorId="4CBBA1FC" wp14:editId="067354BB">
            <wp:extent cx="4325510" cy="15867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8062" cy="1591376"/>
                    </a:xfrm>
                    <a:prstGeom prst="rect">
                      <a:avLst/>
                    </a:prstGeom>
                    <a:noFill/>
                    <a:ln>
                      <a:noFill/>
                    </a:ln>
                  </pic:spPr>
                </pic:pic>
              </a:graphicData>
            </a:graphic>
          </wp:inline>
        </w:drawing>
      </w:r>
    </w:p>
    <w:p w14:paraId="27511A09" w14:textId="77777777" w:rsidR="00AF5CB3" w:rsidRDefault="00AF5CB3" w:rsidP="00AF5CB3"/>
    <w:p w14:paraId="60AD7063" w14:textId="7467F11A" w:rsidR="00AF5CB3" w:rsidRDefault="00AF5CB3" w:rsidP="00AF5CB3">
      <w:pPr>
        <w:rPr>
          <w:iCs/>
        </w:rPr>
      </w:pPr>
      <w:proofErr w:type="spellStart"/>
      <w:r w:rsidRPr="00AF5CB3">
        <w:t>Pcond</w:t>
      </w:r>
      <w:proofErr w:type="spellEnd"/>
      <m:oMath>
        <m:r>
          <m:rPr>
            <m:sty m:val="p"/>
          </m:rPr>
          <w:rPr>
            <w:rFonts w:ascii="Cambria Math" w:hAnsi="Cambria Math"/>
          </w:rPr>
          <m:t>=</m:t>
        </m:r>
        <m:r>
          <w:rPr>
            <w:rFonts w:ascii="Cambria Math" w:hAnsi="Cambria Math"/>
          </w:rPr>
          <m:t>EIRP-</m:t>
        </m:r>
        <m:sSub>
          <m:sSubPr>
            <m:ctrlPr>
              <w:rPr>
                <w:rFonts w:ascii="Cambria Math" w:hAnsi="Cambria Math"/>
                <w:i/>
                <w:iCs/>
              </w:rPr>
            </m:ctrlPr>
          </m:sSubPr>
          <m:e>
            <m:r>
              <w:rPr>
                <w:rFonts w:ascii="Cambria Math" w:hAnsi="Cambria Math"/>
              </w:rPr>
              <m:t>G</m:t>
            </m:r>
          </m:e>
          <m:sub>
            <m:r>
              <w:rPr>
                <w:rFonts w:ascii="Cambria Math" w:hAnsi="Cambria Math"/>
              </w:rPr>
              <m:t>AN</m:t>
            </m:r>
            <m:sSub>
              <m:sSubPr>
                <m:ctrlPr>
                  <w:rPr>
                    <w:rFonts w:ascii="Cambria Math" w:hAnsi="Cambria Math"/>
                    <w:i/>
                    <w:iCs/>
                  </w:rPr>
                </m:ctrlPr>
              </m:sSubPr>
              <m:e>
                <m:r>
                  <w:rPr>
                    <w:rFonts w:ascii="Cambria Math" w:hAnsi="Cambria Math"/>
                  </w:rPr>
                  <m:t>T</m:t>
                </m:r>
              </m:e>
              <m:sub>
                <m:r>
                  <w:rPr>
                    <w:rFonts w:ascii="Cambria Math" w:hAnsi="Cambria Math"/>
                  </w:rPr>
                  <m:t>TX</m:t>
                </m:r>
              </m:sub>
            </m:sSub>
          </m:sub>
        </m:sSub>
        <m:r>
          <w:rPr>
            <w:rFonts w:ascii="Cambria Math" w:hAnsi="Cambria Math"/>
          </w:rPr>
          <m:t>-Isolation=55-33-70=-48dBm </m:t>
        </m:r>
      </m:oMath>
    </w:p>
    <w:p w14:paraId="5299793E" w14:textId="2C009CFD" w:rsidR="00AF5CB3" w:rsidRDefault="00AF5CB3" w:rsidP="00AF5CB3">
      <w:r>
        <w:t>Assuming 70dB isolation the co-location interference is less than that for the existing co-existence (or out of band blocking) case. As such a specific co-location blocking requirement seems to be unnecessary.</w:t>
      </w:r>
    </w:p>
    <w:p w14:paraId="2E9356B9" w14:textId="680FA860" w:rsidR="00AF5CB3" w:rsidRDefault="00AF5CB3" w:rsidP="00AF5CB3">
      <w:r>
        <w:t xml:space="preserve">It is interesting synergy that the blocking and the </w:t>
      </w:r>
      <w:r w:rsidR="002C56B3">
        <w:t>emissions</w:t>
      </w:r>
      <w:r>
        <w:t xml:space="preserve"> come to the same conclusion that the co-</w:t>
      </w:r>
      <w:r w:rsidR="002C56B3">
        <w:t>existence</w:t>
      </w:r>
      <w:r>
        <w:t xml:space="preserve"> case </w:t>
      </w:r>
      <w:r w:rsidR="002C56B3">
        <w:t>is sufficient to cover the co-location case.</w:t>
      </w:r>
    </w:p>
    <w:p w14:paraId="1CFF92DC" w14:textId="3F0A45D1" w:rsidR="002C56B3" w:rsidRDefault="002C56B3" w:rsidP="002C56B3">
      <w:pPr>
        <w:pStyle w:val="3"/>
      </w:pPr>
      <w:r>
        <w:t>2.2.3 Analysis Summary</w:t>
      </w:r>
    </w:p>
    <w:p w14:paraId="082537F9" w14:textId="2128113F" w:rsidR="002C56B3" w:rsidRDefault="002C56B3" w:rsidP="002C56B3">
      <w:r>
        <w:t>For both emissions and blocking it seems that if we assume a co-location case with an antenna to antenna isolation of 70dB then the co-existence case (antenna to antenna separation of 200m) is sufficient to ensure no interference occurs for both co-location and co-existence.</w:t>
      </w:r>
    </w:p>
    <w:p w14:paraId="18D241A0" w14:textId="427E0D2D" w:rsidR="002C56B3" w:rsidRDefault="002C56B3" w:rsidP="002C56B3">
      <w:r>
        <w:t xml:space="preserve">As the co-existence case is effectively already defined for the out of band blocking requirements this makes the analysis </w:t>
      </w:r>
      <w:proofErr w:type="gramStart"/>
      <w:r>
        <w:t>more simple</w:t>
      </w:r>
      <w:proofErr w:type="gramEnd"/>
      <w:r>
        <w:t>.</w:t>
      </w:r>
    </w:p>
    <w:p w14:paraId="5A2F8009" w14:textId="5FFDB7E0" w:rsidR="002C56B3" w:rsidRDefault="002C56B3" w:rsidP="002C56B3">
      <w:r>
        <w:t>Emissions for co-existence in the same geographical area would need to be approximately 20dB tougher than the existing CAT B emissions level at around -33dBm/10MHz.</w:t>
      </w:r>
    </w:p>
    <w:p w14:paraId="2383E5FE" w14:textId="0E3D9D57" w:rsidR="002C56B3" w:rsidRDefault="002C56B3" w:rsidP="002C56B3">
      <w:r>
        <w:t>Blocking for co-existence is effectively covered by the existing out of band blocking requirement so no addition co-existence (or co-location) requirement is needed.</w:t>
      </w:r>
    </w:p>
    <w:p w14:paraId="0337EACA" w14:textId="0A899D8F" w:rsidR="00DE5CD4" w:rsidRDefault="00DE5CD4" w:rsidP="00DE5CD4">
      <w:pPr>
        <w:pStyle w:val="10"/>
        <w:rPr>
          <w:rFonts w:cs="Arial"/>
        </w:rPr>
      </w:pPr>
      <w:r>
        <w:rPr>
          <w:rFonts w:cs="Arial"/>
        </w:rPr>
        <w:t>3 Summary</w:t>
      </w:r>
    </w:p>
    <w:p w14:paraId="6CC9D105" w14:textId="236E61BF" w:rsidR="00DE5CD4" w:rsidRDefault="00DE5CD4" w:rsidP="002C56B3">
      <w:r>
        <w:t>The work on MS-BS makes it clear that multiple FR2 bands in the same geographical area is a valid deployment scenario. As such co-location (and co-existence) scenarios are also likely to exist.</w:t>
      </w:r>
    </w:p>
    <w:p w14:paraId="5CA8A73D" w14:textId="1D5E0E9D" w:rsidR="00DE5CD4" w:rsidRDefault="00DE5CD4" w:rsidP="002C56B3">
      <w:r>
        <w:t>Co-location is not an MB-BS issue as such as any MB-BS could be expected to have synchronised Tx and Rx across the bands.</w:t>
      </w:r>
    </w:p>
    <w:p w14:paraId="135CF76F" w14:textId="77777777" w:rsidR="00DE5CD4" w:rsidRDefault="00DE5CD4" w:rsidP="002C56B3"/>
    <w:p w14:paraId="19189A73" w14:textId="72AA0D28" w:rsidR="00DE5CD4" w:rsidRDefault="00DE5CD4" w:rsidP="002C56B3">
      <w:r>
        <w:t>Agreements as to the exclusion for co-location requirements in the 1</w:t>
      </w:r>
      <w:r w:rsidRPr="00DE5CD4">
        <w:rPr>
          <w:vertAlign w:val="superscript"/>
        </w:rPr>
        <w:t>st</w:t>
      </w:r>
      <w:r>
        <w:t xml:space="preserve"> release of NR are captured in TR 38.817-2 but the background behind the decisions are not captured. Examination of contributions from the time show that it was not shown to be mathematically impossible to have co-location issues (as it was with TX IMD and FR1-FR2 co-location). </w:t>
      </w:r>
      <w:r w:rsidR="0032242B">
        <w:t>But the decision was made based on using regional requirements if necessary and potentially other mitigating techniques such as network synchronisation.</w:t>
      </w:r>
    </w:p>
    <w:p w14:paraId="00C7AA67" w14:textId="6BE6C4F2" w:rsidR="0032242B" w:rsidRDefault="0032242B" w:rsidP="002C56B3">
      <w:r>
        <w:t>Potentially as there are now many more FR2 bands relying on regional regulation rather than incorporating in 3GPP requirements is no longer the best course of action.</w:t>
      </w:r>
    </w:p>
    <w:p w14:paraId="0F1E57C0" w14:textId="3E030D05" w:rsidR="0032242B" w:rsidRDefault="0032242B" w:rsidP="002C56B3">
      <w:r>
        <w:t>Brief analysis of the co-location and coexistence cases find that:</w:t>
      </w:r>
    </w:p>
    <w:p w14:paraId="4FAB3617" w14:textId="108C89EA" w:rsidR="0032242B" w:rsidRDefault="0032242B" w:rsidP="0032242B">
      <w:pPr>
        <w:pStyle w:val="aff6"/>
        <w:numPr>
          <w:ilvl w:val="0"/>
          <w:numId w:val="45"/>
        </w:numPr>
      </w:pPr>
      <w:r>
        <w:lastRenderedPageBreak/>
        <w:t>Additional emissions requirements may be needed for both co-existence and co-location</w:t>
      </w:r>
    </w:p>
    <w:p w14:paraId="13111524" w14:textId="0601DD1E" w:rsidR="0032242B" w:rsidRDefault="0032242B" w:rsidP="0032242B">
      <w:pPr>
        <w:pStyle w:val="aff6"/>
        <w:numPr>
          <w:ilvl w:val="0"/>
          <w:numId w:val="45"/>
        </w:numPr>
      </w:pPr>
      <w:r>
        <w:t>Co-existence however is sufficient to cover the co-location cases for both emissions and blocking</w:t>
      </w:r>
    </w:p>
    <w:p w14:paraId="1554CAC2" w14:textId="6E4FC9E9" w:rsidR="0032242B" w:rsidRDefault="0032242B" w:rsidP="0032242B">
      <w:pPr>
        <w:pStyle w:val="aff6"/>
        <w:numPr>
          <w:ilvl w:val="0"/>
          <w:numId w:val="45"/>
        </w:numPr>
      </w:pPr>
      <w:r>
        <w:t>Co-existence blocking effectively already exists so not additional blocking requirements re needed.</w:t>
      </w:r>
    </w:p>
    <w:p w14:paraId="36573EAC" w14:textId="719001D7" w:rsidR="0032242B" w:rsidRPr="002C56B3" w:rsidRDefault="0032242B" w:rsidP="0032242B">
      <w:pPr>
        <w:pStyle w:val="aff6"/>
        <w:numPr>
          <w:ilvl w:val="0"/>
          <w:numId w:val="45"/>
        </w:numPr>
      </w:pPr>
      <w:r>
        <w:t>A co-existence emissions requirement of approx. -33dBm/10MHz may be needed to ensure no desensitisation of victim receivers.</w:t>
      </w:r>
    </w:p>
    <w:p w14:paraId="3BBB56D9" w14:textId="0EC75C9A" w:rsidR="002C56B3" w:rsidRDefault="0032242B" w:rsidP="00AF5CB3">
      <w:r>
        <w:t xml:space="preserve">At this point we are not suggesting this must be added as a requirement, however if more co-existence scenarios are more likely as more FR2 bands are defined it might </w:t>
      </w:r>
      <w:r w:rsidR="00642D4E">
        <w:t>b</w:t>
      </w:r>
      <w:r>
        <w:t>e useful to at least capture what is needed to ensure co-existence.</w:t>
      </w:r>
    </w:p>
    <w:p w14:paraId="11383034" w14:textId="4508B496" w:rsidR="00642D4E" w:rsidRPr="00642D4E" w:rsidRDefault="00642D4E" w:rsidP="00AF5CB3">
      <w:pPr>
        <w:rPr>
          <w:rFonts w:eastAsiaTheme="minorEastAsia"/>
          <w:lang w:eastAsia="zh-CN"/>
        </w:rPr>
      </w:pPr>
      <w:r>
        <w:rPr>
          <w:rFonts w:eastAsiaTheme="minorEastAsia" w:hint="eastAsia"/>
          <w:lang w:eastAsia="zh-CN"/>
        </w:rPr>
        <w:t>P</w:t>
      </w:r>
      <w:r>
        <w:rPr>
          <w:rFonts w:eastAsiaTheme="minorEastAsia"/>
          <w:lang w:eastAsia="zh-CN"/>
        </w:rPr>
        <w:t>roposal 1</w:t>
      </w:r>
      <w:r w:rsidR="00756D23">
        <w:rPr>
          <w:rFonts w:eastAsiaTheme="minorEastAsia"/>
          <w:lang w:eastAsia="zh-CN"/>
        </w:rPr>
        <w:t xml:space="preserve">: It is proposed to discuss whether </w:t>
      </w:r>
      <w:r w:rsidR="00756D23">
        <w:t>co-existence and co-location in FR2 need to be studied in Rel-18</w:t>
      </w:r>
      <w:r w:rsidR="003C37AD">
        <w:t xml:space="preserve"> WI</w:t>
      </w:r>
      <w:r w:rsidR="00756D23">
        <w:t>.</w:t>
      </w:r>
    </w:p>
    <w:p w14:paraId="1F9F33B5" w14:textId="77777777" w:rsidR="00035E7D" w:rsidRPr="00883F32" w:rsidRDefault="00035E7D" w:rsidP="00035E7D">
      <w:pPr>
        <w:pStyle w:val="10"/>
        <w:ind w:left="0" w:firstLine="0"/>
        <w:rPr>
          <w:rFonts w:eastAsia="Arial" w:cs="Arial"/>
        </w:rPr>
      </w:pPr>
      <w:r w:rsidRPr="00883F32">
        <w:rPr>
          <w:rFonts w:cs="Arial"/>
        </w:rPr>
        <w:t>References</w:t>
      </w:r>
    </w:p>
    <w:sectPr w:rsidR="00035E7D" w:rsidRPr="00883F32" w:rsidSect="00AD2E43">
      <w:footerReference w:type="default" r:id="rId16"/>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1F87" w16cex:dateUtc="2023-02-21T09:46:00Z"/>
  <w16cex:commentExtensible w16cex:durableId="279DC83B" w16cex:dateUtc="2023-02-20T08:21:00Z"/>
  <w16cex:commentExtensible w16cex:durableId="27A25D27" w16cex:dateUtc="2023-02-23T19:46:00Z"/>
  <w16cex:commentExtensible w16cex:durableId="279DC8A0" w16cex:dateUtc="2023-02-20T08:23:00Z"/>
  <w16cex:commentExtensible w16cex:durableId="27A25D6D" w16cex:dateUtc="2023-02-23T19:47:00Z"/>
  <w16cex:commentExtensible w16cex:durableId="279F2103" w16cex:dateUtc="2023-02-21T09:52:00Z"/>
  <w16cex:commentExtensible w16cex:durableId="279DC974" w16cex:dateUtc="2023-02-20T08:27:00Z"/>
  <w16cex:commentExtensible w16cex:durableId="27A25DA2" w16cex:dateUtc="2023-02-23T19:48:00Z"/>
  <w16cex:commentExtensible w16cex:durableId="279DC9BD" w16cex:dateUtc="2023-02-20T08:28:00Z"/>
  <w16cex:commentExtensible w16cex:durableId="27A261D4" w16cex:dateUtc="2023-02-23T20:06:00Z"/>
  <w16cex:commentExtensible w16cex:durableId="27A7B344" w16cex:dateUtc="2023-02-27T20:55:00Z"/>
  <w16cex:commentExtensible w16cex:durableId="279DCA68" w16cex:dateUtc="2023-02-20T08:31:00Z"/>
  <w16cex:commentExtensible w16cex:durableId="27A262F0" w16cex:dateUtc="2023-02-23T20:10:00Z"/>
  <w16cex:commentExtensible w16cex:durableId="2798C351" w16cex:dateUtc="2023-02-16T14:59:00Z"/>
  <w16cex:commentExtensible w16cex:durableId="279DD20F" w16cex:dateUtc="2023-02-20T09:03:00Z"/>
  <w16cex:commentExtensible w16cex:durableId="27A26535" w16cex:dateUtc="2023-02-23T20:20:00Z"/>
  <w16cex:commentExtensible w16cex:durableId="27A7B2F9" w16cex:dateUtc="2023-02-27T20:53:00Z"/>
  <w16cex:commentExtensible w16cex:durableId="2798C1DA" w16cex:dateUtc="2023-02-16T14:53:00Z"/>
  <w16cex:commentExtensible w16cex:durableId="279DD2FD" w16cex:dateUtc="2023-02-20T09:07:00Z"/>
  <w16cex:commentExtensible w16cex:durableId="27A2604E" w16cex:dateUtc="2023-02-23T19:59:00Z"/>
  <w16cex:commentExtensible w16cex:durableId="2798C250" w16cex:dateUtc="2023-02-16T14:55:00Z"/>
  <w16cex:commentExtensible w16cex:durableId="279DD6AD" w16cex:dateUtc="2023-02-20T09:23:00Z"/>
  <w16cex:commentExtensible w16cex:durableId="27A2666B" w16cex:dateUtc="2023-02-23T20:25:00Z"/>
  <w16cex:commentExtensible w16cex:durableId="279DD98C" w16cex:dateUtc="2023-02-20T09:35:00Z"/>
  <w16cex:commentExtensible w16cex:durableId="279DE93F" w16cex:dateUtc="2023-02-20T10:42:00Z"/>
  <w16cex:commentExtensible w16cex:durableId="27A30E82" w16cex:dateUtc="2023-02-24T08:22:00Z"/>
  <w16cex:commentExtensible w16cex:durableId="27A7B5F8" w16cex:dateUtc="2023-02-27T21:06:00Z"/>
  <w16cex:commentExtensible w16cex:durableId="279DE902" w16cex:dateUtc="2023-02-20T10:41:00Z"/>
  <w16cex:commentExtensible w16cex:durableId="27A7B578" w16cex:dateUtc="2023-02-27T21:04:00Z"/>
  <w16cex:commentExtensible w16cex:durableId="279DFCD4" w16cex:dateUtc="2023-02-20T12:06:00Z"/>
  <w16cex:commentExtensible w16cex:durableId="27A27410" w16cex:dateUtc="2023-02-23T21:24:00Z"/>
  <w16cex:commentExtensible w16cex:durableId="279F2269" w16cex:dateUtc="2023-02-21T09:58:00Z"/>
  <w16cex:commentExtensible w16cex:durableId="2799F2DF" w16cex:dateUtc="2023-02-17T12:34:00Z"/>
  <w16cex:commentExtensible w16cex:durableId="2799F24A" w16cex:dateUtc="2023-02-17T12:32:00Z"/>
  <w16cex:commentExtensible w16cex:durableId="279DF36E" w16cex:dateUtc="2023-02-20T11:26:00Z"/>
  <w16cex:commentExtensible w16cex:durableId="27A313BE" w16cex:dateUtc="2023-02-24T08:45:00Z"/>
  <w16cex:commentExtensible w16cex:durableId="27A7B6A2" w16cex:dateUtc="2023-02-27T21:09:00Z"/>
  <w16cex:commentExtensible w16cex:durableId="27A87E57" w16cex:dateUtc="2023-02-28T12:21:00Z"/>
  <w16cex:commentExtensible w16cex:durableId="27A87EF0" w16cex:dateUtc="2023-02-28T12: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E9A2C" w14:textId="77777777" w:rsidR="00253AAD" w:rsidRDefault="00253AAD">
      <w:r>
        <w:separator/>
      </w:r>
    </w:p>
  </w:endnote>
  <w:endnote w:type="continuationSeparator" w:id="0">
    <w:p w14:paraId="4CE33E04" w14:textId="77777777" w:rsidR="00253AAD" w:rsidRDefault="0025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default"/>
    <w:sig w:usb0="00000000" w:usb1="00000000" w:usb2="00000010" w:usb3="00000000" w:csb0="0004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C0B1C" w14:textId="77777777" w:rsidR="002C56B3" w:rsidRPr="00D12FFA" w:rsidRDefault="002C56B3">
    <w:pPr>
      <w:pStyle w:val="a6"/>
      <w:rPr>
        <w:rFonts w:cs="Arial"/>
      </w:rPr>
    </w:pPr>
    <w:r w:rsidRPr="00D12FFA">
      <w:rPr>
        <w:rFonts w:cs="Arial"/>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480BE" w14:textId="77777777" w:rsidR="00253AAD" w:rsidRDefault="00253AAD">
      <w:r>
        <w:separator/>
      </w:r>
    </w:p>
  </w:footnote>
  <w:footnote w:type="continuationSeparator" w:id="0">
    <w:p w14:paraId="4A41D34E" w14:textId="77777777" w:rsidR="00253AAD" w:rsidRDefault="00253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AC53DE2"/>
    <w:multiLevelType w:val="hybridMultilevel"/>
    <w:tmpl w:val="21C0065C"/>
    <w:lvl w:ilvl="0" w:tplc="F3DCEF7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AA3"/>
    <w:multiLevelType w:val="hybridMultilevel"/>
    <w:tmpl w:val="D3FC2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4A6449"/>
    <w:multiLevelType w:val="hybridMultilevel"/>
    <w:tmpl w:val="F524126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707AB1"/>
    <w:multiLevelType w:val="hybridMultilevel"/>
    <w:tmpl w:val="39CE18D8"/>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E6241C8"/>
    <w:multiLevelType w:val="hybridMultilevel"/>
    <w:tmpl w:val="B8C4C23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2D382A"/>
    <w:multiLevelType w:val="hybridMultilevel"/>
    <w:tmpl w:val="E0BC31F6"/>
    <w:lvl w:ilvl="0" w:tplc="0809000F">
      <w:start w:val="1"/>
      <w:numFmt w:val="decimal"/>
      <w:lvlText w:val="%1."/>
      <w:lvlJc w:val="left"/>
      <w:pPr>
        <w:ind w:left="1002" w:hanging="360"/>
      </w:pPr>
    </w:lvl>
    <w:lvl w:ilvl="1" w:tplc="08090019" w:tentative="1">
      <w:start w:val="1"/>
      <w:numFmt w:val="lowerLetter"/>
      <w:lvlText w:val="%2."/>
      <w:lvlJc w:val="left"/>
      <w:pPr>
        <w:ind w:left="1722" w:hanging="360"/>
      </w:pPr>
    </w:lvl>
    <w:lvl w:ilvl="2" w:tplc="0809001B" w:tentative="1">
      <w:start w:val="1"/>
      <w:numFmt w:val="lowerRoman"/>
      <w:lvlText w:val="%3."/>
      <w:lvlJc w:val="right"/>
      <w:pPr>
        <w:ind w:left="2442" w:hanging="180"/>
      </w:pPr>
    </w:lvl>
    <w:lvl w:ilvl="3" w:tplc="0809000F" w:tentative="1">
      <w:start w:val="1"/>
      <w:numFmt w:val="decimal"/>
      <w:lvlText w:val="%4."/>
      <w:lvlJc w:val="left"/>
      <w:pPr>
        <w:ind w:left="3162" w:hanging="360"/>
      </w:pPr>
    </w:lvl>
    <w:lvl w:ilvl="4" w:tplc="08090019" w:tentative="1">
      <w:start w:val="1"/>
      <w:numFmt w:val="lowerLetter"/>
      <w:lvlText w:val="%5."/>
      <w:lvlJc w:val="left"/>
      <w:pPr>
        <w:ind w:left="3882" w:hanging="360"/>
      </w:pPr>
    </w:lvl>
    <w:lvl w:ilvl="5" w:tplc="0809001B" w:tentative="1">
      <w:start w:val="1"/>
      <w:numFmt w:val="lowerRoman"/>
      <w:lvlText w:val="%6."/>
      <w:lvlJc w:val="right"/>
      <w:pPr>
        <w:ind w:left="4602" w:hanging="180"/>
      </w:pPr>
    </w:lvl>
    <w:lvl w:ilvl="6" w:tplc="0809000F" w:tentative="1">
      <w:start w:val="1"/>
      <w:numFmt w:val="decimal"/>
      <w:lvlText w:val="%7."/>
      <w:lvlJc w:val="left"/>
      <w:pPr>
        <w:ind w:left="5322" w:hanging="360"/>
      </w:pPr>
    </w:lvl>
    <w:lvl w:ilvl="7" w:tplc="08090019" w:tentative="1">
      <w:start w:val="1"/>
      <w:numFmt w:val="lowerLetter"/>
      <w:lvlText w:val="%8."/>
      <w:lvlJc w:val="left"/>
      <w:pPr>
        <w:ind w:left="6042" w:hanging="360"/>
      </w:pPr>
    </w:lvl>
    <w:lvl w:ilvl="8" w:tplc="0809001B" w:tentative="1">
      <w:start w:val="1"/>
      <w:numFmt w:val="lowerRoman"/>
      <w:lvlText w:val="%9."/>
      <w:lvlJc w:val="right"/>
      <w:pPr>
        <w:ind w:left="6762" w:hanging="180"/>
      </w:pPr>
    </w:lvl>
  </w:abstractNum>
  <w:abstractNum w:abstractNumId="35" w15:restartNumberingAfterBreak="0">
    <w:nsid w:val="5B175A73"/>
    <w:multiLevelType w:val="hybridMultilevel"/>
    <w:tmpl w:val="8E745A1C"/>
    <w:lvl w:ilvl="0" w:tplc="634A9134">
      <w:start w:val="1"/>
      <w:numFmt w:val="bullet"/>
      <w:lvlText w:val="•"/>
      <w:lvlJc w:val="left"/>
      <w:pPr>
        <w:tabs>
          <w:tab w:val="num" w:pos="720"/>
        </w:tabs>
        <w:ind w:left="720" w:hanging="360"/>
      </w:pPr>
      <w:rPr>
        <w:rFonts w:ascii="Arial" w:hAnsi="Arial" w:hint="default"/>
      </w:rPr>
    </w:lvl>
    <w:lvl w:ilvl="1" w:tplc="EF1487C8" w:tentative="1">
      <w:start w:val="1"/>
      <w:numFmt w:val="bullet"/>
      <w:lvlText w:val="•"/>
      <w:lvlJc w:val="left"/>
      <w:pPr>
        <w:tabs>
          <w:tab w:val="num" w:pos="1440"/>
        </w:tabs>
        <w:ind w:left="1440" w:hanging="360"/>
      </w:pPr>
      <w:rPr>
        <w:rFonts w:ascii="Arial" w:hAnsi="Arial" w:hint="default"/>
      </w:rPr>
    </w:lvl>
    <w:lvl w:ilvl="2" w:tplc="A1ACC7AC" w:tentative="1">
      <w:start w:val="1"/>
      <w:numFmt w:val="bullet"/>
      <w:lvlText w:val="•"/>
      <w:lvlJc w:val="left"/>
      <w:pPr>
        <w:tabs>
          <w:tab w:val="num" w:pos="2160"/>
        </w:tabs>
        <w:ind w:left="2160" w:hanging="360"/>
      </w:pPr>
      <w:rPr>
        <w:rFonts w:ascii="Arial" w:hAnsi="Arial" w:hint="default"/>
      </w:rPr>
    </w:lvl>
    <w:lvl w:ilvl="3" w:tplc="8C0E6E44" w:tentative="1">
      <w:start w:val="1"/>
      <w:numFmt w:val="bullet"/>
      <w:lvlText w:val="•"/>
      <w:lvlJc w:val="left"/>
      <w:pPr>
        <w:tabs>
          <w:tab w:val="num" w:pos="2880"/>
        </w:tabs>
        <w:ind w:left="2880" w:hanging="360"/>
      </w:pPr>
      <w:rPr>
        <w:rFonts w:ascii="Arial" w:hAnsi="Arial" w:hint="default"/>
      </w:rPr>
    </w:lvl>
    <w:lvl w:ilvl="4" w:tplc="94E0CB32" w:tentative="1">
      <w:start w:val="1"/>
      <w:numFmt w:val="bullet"/>
      <w:lvlText w:val="•"/>
      <w:lvlJc w:val="left"/>
      <w:pPr>
        <w:tabs>
          <w:tab w:val="num" w:pos="3600"/>
        </w:tabs>
        <w:ind w:left="3600" w:hanging="360"/>
      </w:pPr>
      <w:rPr>
        <w:rFonts w:ascii="Arial" w:hAnsi="Arial" w:hint="default"/>
      </w:rPr>
    </w:lvl>
    <w:lvl w:ilvl="5" w:tplc="F686FAA8" w:tentative="1">
      <w:start w:val="1"/>
      <w:numFmt w:val="bullet"/>
      <w:lvlText w:val="•"/>
      <w:lvlJc w:val="left"/>
      <w:pPr>
        <w:tabs>
          <w:tab w:val="num" w:pos="4320"/>
        </w:tabs>
        <w:ind w:left="4320" w:hanging="360"/>
      </w:pPr>
      <w:rPr>
        <w:rFonts w:ascii="Arial" w:hAnsi="Arial" w:hint="default"/>
      </w:rPr>
    </w:lvl>
    <w:lvl w:ilvl="6" w:tplc="8780A59C" w:tentative="1">
      <w:start w:val="1"/>
      <w:numFmt w:val="bullet"/>
      <w:lvlText w:val="•"/>
      <w:lvlJc w:val="left"/>
      <w:pPr>
        <w:tabs>
          <w:tab w:val="num" w:pos="5040"/>
        </w:tabs>
        <w:ind w:left="5040" w:hanging="360"/>
      </w:pPr>
      <w:rPr>
        <w:rFonts w:ascii="Arial" w:hAnsi="Arial" w:hint="default"/>
      </w:rPr>
    </w:lvl>
    <w:lvl w:ilvl="7" w:tplc="BFBC3C2E" w:tentative="1">
      <w:start w:val="1"/>
      <w:numFmt w:val="bullet"/>
      <w:lvlText w:val="•"/>
      <w:lvlJc w:val="left"/>
      <w:pPr>
        <w:tabs>
          <w:tab w:val="num" w:pos="5760"/>
        </w:tabs>
        <w:ind w:left="5760" w:hanging="360"/>
      </w:pPr>
      <w:rPr>
        <w:rFonts w:ascii="Arial" w:hAnsi="Arial" w:hint="default"/>
      </w:rPr>
    </w:lvl>
    <w:lvl w:ilvl="8" w:tplc="FADA437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CC635E"/>
    <w:multiLevelType w:val="hybridMultilevel"/>
    <w:tmpl w:val="8AA44584"/>
    <w:lvl w:ilvl="0" w:tplc="3E440AC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28"/>
  </w:num>
  <w:num w:numId="3">
    <w:abstractNumId w:val="40"/>
  </w:num>
  <w:num w:numId="4">
    <w:abstractNumId w:val="39"/>
  </w:num>
  <w:num w:numId="5">
    <w:abstractNumId w:val="19"/>
  </w:num>
  <w:num w:numId="6">
    <w:abstractNumId w:val="31"/>
  </w:num>
  <w:num w:numId="7">
    <w:abstractNumId w:val="45"/>
  </w:num>
  <w:num w:numId="8">
    <w:abstractNumId w:val="16"/>
  </w:num>
  <w:num w:numId="9">
    <w:abstractNumId w:val="15"/>
  </w:num>
  <w:num w:numId="10">
    <w:abstractNumId w:val="33"/>
  </w:num>
  <w:num w:numId="11">
    <w:abstractNumId w:val="43"/>
  </w:num>
  <w:num w:numId="12">
    <w:abstractNumId w:val="9"/>
  </w:num>
  <w:num w:numId="13">
    <w:abstractNumId w:val="30"/>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4"/>
  </w:num>
  <w:num w:numId="23">
    <w:abstractNumId w:val="36"/>
  </w:num>
  <w:num w:numId="24">
    <w:abstractNumId w:val="26"/>
  </w:num>
  <w:num w:numId="25">
    <w:abstractNumId w:val="32"/>
  </w:num>
  <w:num w:numId="26">
    <w:abstractNumId w:val="13"/>
  </w:num>
  <w:num w:numId="27">
    <w:abstractNumId w:val="8"/>
  </w:num>
  <w:num w:numId="28">
    <w:abstractNumId w:val="10"/>
  </w:num>
  <w:num w:numId="29">
    <w:abstractNumId w:val="27"/>
  </w:num>
  <w:num w:numId="30">
    <w:abstractNumId w:val="38"/>
  </w:num>
  <w:num w:numId="31">
    <w:abstractNumId w:val="23"/>
  </w:num>
  <w:num w:numId="32">
    <w:abstractNumId w:val="7"/>
  </w:num>
  <w:num w:numId="33">
    <w:abstractNumId w:val="25"/>
  </w:num>
  <w:num w:numId="34">
    <w:abstractNumId w:val="12"/>
  </w:num>
  <w:num w:numId="35">
    <w:abstractNumId w:val="21"/>
  </w:num>
  <w:num w:numId="36">
    <w:abstractNumId w:val="37"/>
  </w:num>
  <w:num w:numId="37">
    <w:abstractNumId w:val="41"/>
  </w:num>
  <w:num w:numId="38">
    <w:abstractNumId w:val="44"/>
  </w:num>
  <w:num w:numId="39">
    <w:abstractNumId w:val="20"/>
  </w:num>
  <w:num w:numId="40">
    <w:abstractNumId w:val="34"/>
  </w:num>
  <w:num w:numId="41">
    <w:abstractNumId w:val="35"/>
  </w:num>
  <w:num w:numId="42">
    <w:abstractNumId w:val="17"/>
  </w:num>
  <w:num w:numId="43">
    <w:abstractNumId w:val="29"/>
  </w:num>
  <w:num w:numId="44">
    <w:abstractNumId w:val="11"/>
  </w:num>
  <w:num w:numId="45">
    <w:abstractNumId w:val="18"/>
  </w:num>
  <w:num w:numId="46">
    <w:abstractNumId w:val="4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EA9"/>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BB5"/>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0F05"/>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029"/>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4F79"/>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6AB"/>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2FD7"/>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43E9"/>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3ED5"/>
    <w:rsid w:val="001841B0"/>
    <w:rsid w:val="00186574"/>
    <w:rsid w:val="0018686E"/>
    <w:rsid w:val="0018689E"/>
    <w:rsid w:val="00186918"/>
    <w:rsid w:val="00186DFE"/>
    <w:rsid w:val="00186FED"/>
    <w:rsid w:val="001874A3"/>
    <w:rsid w:val="001878F6"/>
    <w:rsid w:val="00187B6A"/>
    <w:rsid w:val="00190718"/>
    <w:rsid w:val="00190C7D"/>
    <w:rsid w:val="001913A3"/>
    <w:rsid w:val="001928BC"/>
    <w:rsid w:val="00192CF8"/>
    <w:rsid w:val="00192E76"/>
    <w:rsid w:val="001933B6"/>
    <w:rsid w:val="00193508"/>
    <w:rsid w:val="0019363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68BD"/>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203"/>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2DD"/>
    <w:rsid w:val="00206312"/>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471BD"/>
    <w:rsid w:val="0025000D"/>
    <w:rsid w:val="00250986"/>
    <w:rsid w:val="002512DC"/>
    <w:rsid w:val="00251632"/>
    <w:rsid w:val="00252EA4"/>
    <w:rsid w:val="002531B4"/>
    <w:rsid w:val="00253AAD"/>
    <w:rsid w:val="00253C2B"/>
    <w:rsid w:val="002542C8"/>
    <w:rsid w:val="0025430D"/>
    <w:rsid w:val="00254398"/>
    <w:rsid w:val="00254B95"/>
    <w:rsid w:val="002551ED"/>
    <w:rsid w:val="00255226"/>
    <w:rsid w:val="00255B5C"/>
    <w:rsid w:val="0025687E"/>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01AF"/>
    <w:rsid w:val="002A100D"/>
    <w:rsid w:val="002A2166"/>
    <w:rsid w:val="002A23C5"/>
    <w:rsid w:val="002A2929"/>
    <w:rsid w:val="002A2973"/>
    <w:rsid w:val="002A2993"/>
    <w:rsid w:val="002A29D7"/>
    <w:rsid w:val="002A352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4AC0"/>
    <w:rsid w:val="002B5B27"/>
    <w:rsid w:val="002B6135"/>
    <w:rsid w:val="002B6BCD"/>
    <w:rsid w:val="002B6C05"/>
    <w:rsid w:val="002B6DFD"/>
    <w:rsid w:val="002B7A1E"/>
    <w:rsid w:val="002B7B57"/>
    <w:rsid w:val="002B7C32"/>
    <w:rsid w:val="002B7FD8"/>
    <w:rsid w:val="002C01E3"/>
    <w:rsid w:val="002C0617"/>
    <w:rsid w:val="002C0976"/>
    <w:rsid w:val="002C0FBE"/>
    <w:rsid w:val="002C3755"/>
    <w:rsid w:val="002C3D43"/>
    <w:rsid w:val="002C43AB"/>
    <w:rsid w:val="002C443E"/>
    <w:rsid w:val="002C497E"/>
    <w:rsid w:val="002C50C6"/>
    <w:rsid w:val="002C56B3"/>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03"/>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43A"/>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42B"/>
    <w:rsid w:val="003226DF"/>
    <w:rsid w:val="00322E09"/>
    <w:rsid w:val="003235FD"/>
    <w:rsid w:val="0032373F"/>
    <w:rsid w:val="00323B07"/>
    <w:rsid w:val="0032407F"/>
    <w:rsid w:val="0032413B"/>
    <w:rsid w:val="00324C8F"/>
    <w:rsid w:val="00324EF3"/>
    <w:rsid w:val="0032604A"/>
    <w:rsid w:val="00326111"/>
    <w:rsid w:val="003262D8"/>
    <w:rsid w:val="00326780"/>
    <w:rsid w:val="0033026B"/>
    <w:rsid w:val="00331251"/>
    <w:rsid w:val="0033133D"/>
    <w:rsid w:val="00331B0D"/>
    <w:rsid w:val="00331F60"/>
    <w:rsid w:val="00332676"/>
    <w:rsid w:val="00332A3B"/>
    <w:rsid w:val="00332E63"/>
    <w:rsid w:val="0033353B"/>
    <w:rsid w:val="0033380C"/>
    <w:rsid w:val="003340DC"/>
    <w:rsid w:val="003343B0"/>
    <w:rsid w:val="003348A3"/>
    <w:rsid w:val="00334DE4"/>
    <w:rsid w:val="0033529C"/>
    <w:rsid w:val="00335DD5"/>
    <w:rsid w:val="00335F81"/>
    <w:rsid w:val="0033686C"/>
    <w:rsid w:val="00336F00"/>
    <w:rsid w:val="00336F6B"/>
    <w:rsid w:val="0033793F"/>
    <w:rsid w:val="0034016A"/>
    <w:rsid w:val="0034026F"/>
    <w:rsid w:val="00340B11"/>
    <w:rsid w:val="00340B71"/>
    <w:rsid w:val="00340EBF"/>
    <w:rsid w:val="003411C1"/>
    <w:rsid w:val="00341ADA"/>
    <w:rsid w:val="003435B3"/>
    <w:rsid w:val="003442B0"/>
    <w:rsid w:val="003446BA"/>
    <w:rsid w:val="00345044"/>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9E"/>
    <w:rsid w:val="00361898"/>
    <w:rsid w:val="00362D28"/>
    <w:rsid w:val="00362D6D"/>
    <w:rsid w:val="00363852"/>
    <w:rsid w:val="00363A78"/>
    <w:rsid w:val="003644C1"/>
    <w:rsid w:val="00364D7D"/>
    <w:rsid w:val="00365743"/>
    <w:rsid w:val="00365767"/>
    <w:rsid w:val="00366543"/>
    <w:rsid w:val="003669A5"/>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10F"/>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CD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068"/>
    <w:rsid w:val="003C1802"/>
    <w:rsid w:val="003C1B28"/>
    <w:rsid w:val="003C208B"/>
    <w:rsid w:val="003C2545"/>
    <w:rsid w:val="003C37AD"/>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CEF"/>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96"/>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828"/>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C30"/>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8FF"/>
    <w:rsid w:val="004529B2"/>
    <w:rsid w:val="00452A97"/>
    <w:rsid w:val="00452BB4"/>
    <w:rsid w:val="00452D22"/>
    <w:rsid w:val="00453086"/>
    <w:rsid w:val="004532D3"/>
    <w:rsid w:val="00453F3E"/>
    <w:rsid w:val="004542DF"/>
    <w:rsid w:val="004549EC"/>
    <w:rsid w:val="00454D5C"/>
    <w:rsid w:val="00454EB8"/>
    <w:rsid w:val="00455083"/>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3DEB"/>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415"/>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142"/>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06FA"/>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50C"/>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71D"/>
    <w:rsid w:val="00515B07"/>
    <w:rsid w:val="00516146"/>
    <w:rsid w:val="00516384"/>
    <w:rsid w:val="005172BB"/>
    <w:rsid w:val="00517555"/>
    <w:rsid w:val="00517B5C"/>
    <w:rsid w:val="00517CB5"/>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4A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377B0"/>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36B"/>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C2D"/>
    <w:rsid w:val="00577D10"/>
    <w:rsid w:val="0058033C"/>
    <w:rsid w:val="00580943"/>
    <w:rsid w:val="00581A68"/>
    <w:rsid w:val="00581B00"/>
    <w:rsid w:val="005823E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8DC"/>
    <w:rsid w:val="00592996"/>
    <w:rsid w:val="005929A6"/>
    <w:rsid w:val="005930B4"/>
    <w:rsid w:val="00594388"/>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909"/>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CBD"/>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7AA"/>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6C2C"/>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4CFF"/>
    <w:rsid w:val="00635498"/>
    <w:rsid w:val="006358D6"/>
    <w:rsid w:val="006365C0"/>
    <w:rsid w:val="006368D3"/>
    <w:rsid w:val="00637A9A"/>
    <w:rsid w:val="00640DFF"/>
    <w:rsid w:val="00641B92"/>
    <w:rsid w:val="00641BD1"/>
    <w:rsid w:val="00642066"/>
    <w:rsid w:val="006424E5"/>
    <w:rsid w:val="006427D6"/>
    <w:rsid w:val="00642D4E"/>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5D"/>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3BDA"/>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1E5B"/>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A00"/>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1F42"/>
    <w:rsid w:val="0072203E"/>
    <w:rsid w:val="0072216B"/>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462"/>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23"/>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440"/>
    <w:rsid w:val="007B0B09"/>
    <w:rsid w:val="007B27C2"/>
    <w:rsid w:val="007B2CD6"/>
    <w:rsid w:val="007B2FBF"/>
    <w:rsid w:val="007B34A4"/>
    <w:rsid w:val="007B3C01"/>
    <w:rsid w:val="007B3C0B"/>
    <w:rsid w:val="007B3E3C"/>
    <w:rsid w:val="007B3E89"/>
    <w:rsid w:val="007B4AAF"/>
    <w:rsid w:val="007B4F61"/>
    <w:rsid w:val="007B5D28"/>
    <w:rsid w:val="007B692F"/>
    <w:rsid w:val="007B74A3"/>
    <w:rsid w:val="007B75FE"/>
    <w:rsid w:val="007B7756"/>
    <w:rsid w:val="007B7BA5"/>
    <w:rsid w:val="007C06DB"/>
    <w:rsid w:val="007C103D"/>
    <w:rsid w:val="007C1079"/>
    <w:rsid w:val="007C14EE"/>
    <w:rsid w:val="007C1537"/>
    <w:rsid w:val="007C1C69"/>
    <w:rsid w:val="007C2D23"/>
    <w:rsid w:val="007C2FEB"/>
    <w:rsid w:val="007C37CF"/>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1B9C"/>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7E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088"/>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0C87"/>
    <w:rsid w:val="00841331"/>
    <w:rsid w:val="0084160C"/>
    <w:rsid w:val="0084197B"/>
    <w:rsid w:val="00841DEF"/>
    <w:rsid w:val="00841E99"/>
    <w:rsid w:val="00842DC0"/>
    <w:rsid w:val="00842E3F"/>
    <w:rsid w:val="00842EA5"/>
    <w:rsid w:val="00842FE0"/>
    <w:rsid w:val="00843047"/>
    <w:rsid w:val="008437FF"/>
    <w:rsid w:val="008439CE"/>
    <w:rsid w:val="0084448D"/>
    <w:rsid w:val="008444AE"/>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BA"/>
    <w:rsid w:val="00853FFE"/>
    <w:rsid w:val="008547AE"/>
    <w:rsid w:val="0085498E"/>
    <w:rsid w:val="00854EC5"/>
    <w:rsid w:val="0085567B"/>
    <w:rsid w:val="00855690"/>
    <w:rsid w:val="00855F51"/>
    <w:rsid w:val="00856475"/>
    <w:rsid w:val="00857692"/>
    <w:rsid w:val="00857A1F"/>
    <w:rsid w:val="00857ABD"/>
    <w:rsid w:val="00860044"/>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3C3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362"/>
    <w:rsid w:val="009008D9"/>
    <w:rsid w:val="00900913"/>
    <w:rsid w:val="00900932"/>
    <w:rsid w:val="00900D25"/>
    <w:rsid w:val="00901A00"/>
    <w:rsid w:val="00901B3B"/>
    <w:rsid w:val="00901DEB"/>
    <w:rsid w:val="00902EDF"/>
    <w:rsid w:val="009031F3"/>
    <w:rsid w:val="009033A2"/>
    <w:rsid w:val="0090503B"/>
    <w:rsid w:val="009051EF"/>
    <w:rsid w:val="00906754"/>
    <w:rsid w:val="009067EC"/>
    <w:rsid w:val="00906E43"/>
    <w:rsid w:val="00906F59"/>
    <w:rsid w:val="00907CB8"/>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648"/>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6D4B"/>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BA8"/>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4CD"/>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6D8D"/>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70"/>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A4B"/>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1752"/>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A22"/>
    <w:rsid w:val="00A47B1B"/>
    <w:rsid w:val="00A50141"/>
    <w:rsid w:val="00A50373"/>
    <w:rsid w:val="00A503C5"/>
    <w:rsid w:val="00A50530"/>
    <w:rsid w:val="00A51194"/>
    <w:rsid w:val="00A5144B"/>
    <w:rsid w:val="00A525F9"/>
    <w:rsid w:val="00A5274C"/>
    <w:rsid w:val="00A52C30"/>
    <w:rsid w:val="00A53A07"/>
    <w:rsid w:val="00A547D9"/>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5AD5"/>
    <w:rsid w:val="00A9654E"/>
    <w:rsid w:val="00A96EC2"/>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114"/>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12D"/>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66"/>
    <w:rsid w:val="00AF43A1"/>
    <w:rsid w:val="00AF4E45"/>
    <w:rsid w:val="00AF4FB6"/>
    <w:rsid w:val="00AF5081"/>
    <w:rsid w:val="00AF56CB"/>
    <w:rsid w:val="00AF5AB9"/>
    <w:rsid w:val="00AF5B11"/>
    <w:rsid w:val="00AF5CB3"/>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2BE7"/>
    <w:rsid w:val="00B331BC"/>
    <w:rsid w:val="00B333F1"/>
    <w:rsid w:val="00B336B8"/>
    <w:rsid w:val="00B337AF"/>
    <w:rsid w:val="00B33D7B"/>
    <w:rsid w:val="00B33DBE"/>
    <w:rsid w:val="00B351BF"/>
    <w:rsid w:val="00B36ABA"/>
    <w:rsid w:val="00B36D3A"/>
    <w:rsid w:val="00B36D66"/>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A27"/>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3D0"/>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306"/>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567"/>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5EF"/>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2AFE"/>
    <w:rsid w:val="00BE3778"/>
    <w:rsid w:val="00BE38EA"/>
    <w:rsid w:val="00BE3A7A"/>
    <w:rsid w:val="00BE476F"/>
    <w:rsid w:val="00BE5334"/>
    <w:rsid w:val="00BE56DC"/>
    <w:rsid w:val="00BE5B8B"/>
    <w:rsid w:val="00BE6A2D"/>
    <w:rsid w:val="00BE6F51"/>
    <w:rsid w:val="00BE70CC"/>
    <w:rsid w:val="00BE7375"/>
    <w:rsid w:val="00BE73AA"/>
    <w:rsid w:val="00BE7E62"/>
    <w:rsid w:val="00BE7F5C"/>
    <w:rsid w:val="00BF00E6"/>
    <w:rsid w:val="00BF0DCC"/>
    <w:rsid w:val="00BF0F60"/>
    <w:rsid w:val="00BF18C7"/>
    <w:rsid w:val="00BF1C5C"/>
    <w:rsid w:val="00BF21EA"/>
    <w:rsid w:val="00BF2483"/>
    <w:rsid w:val="00BF3052"/>
    <w:rsid w:val="00BF371A"/>
    <w:rsid w:val="00BF3867"/>
    <w:rsid w:val="00BF3DD1"/>
    <w:rsid w:val="00BF4EF0"/>
    <w:rsid w:val="00BF5258"/>
    <w:rsid w:val="00BF6425"/>
    <w:rsid w:val="00BF6840"/>
    <w:rsid w:val="00BF6B8A"/>
    <w:rsid w:val="00BF6EF7"/>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6F6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595"/>
    <w:rsid w:val="00C51773"/>
    <w:rsid w:val="00C520C5"/>
    <w:rsid w:val="00C5230A"/>
    <w:rsid w:val="00C525C7"/>
    <w:rsid w:val="00C52639"/>
    <w:rsid w:val="00C5277F"/>
    <w:rsid w:val="00C52AE7"/>
    <w:rsid w:val="00C52B29"/>
    <w:rsid w:val="00C52E23"/>
    <w:rsid w:val="00C53923"/>
    <w:rsid w:val="00C545D2"/>
    <w:rsid w:val="00C548E1"/>
    <w:rsid w:val="00C548E9"/>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6AC"/>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016"/>
    <w:rsid w:val="00C8114F"/>
    <w:rsid w:val="00C812CB"/>
    <w:rsid w:val="00C813EF"/>
    <w:rsid w:val="00C818CC"/>
    <w:rsid w:val="00C81CA1"/>
    <w:rsid w:val="00C82413"/>
    <w:rsid w:val="00C82447"/>
    <w:rsid w:val="00C8299C"/>
    <w:rsid w:val="00C83033"/>
    <w:rsid w:val="00C83074"/>
    <w:rsid w:val="00C836DF"/>
    <w:rsid w:val="00C83C22"/>
    <w:rsid w:val="00C844F7"/>
    <w:rsid w:val="00C84A2B"/>
    <w:rsid w:val="00C84B15"/>
    <w:rsid w:val="00C85254"/>
    <w:rsid w:val="00C858D0"/>
    <w:rsid w:val="00C85F1F"/>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873"/>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39CE"/>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0DE9"/>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6D8B"/>
    <w:rsid w:val="00D176E9"/>
    <w:rsid w:val="00D17D95"/>
    <w:rsid w:val="00D20809"/>
    <w:rsid w:val="00D20A7C"/>
    <w:rsid w:val="00D22231"/>
    <w:rsid w:val="00D230CE"/>
    <w:rsid w:val="00D231ED"/>
    <w:rsid w:val="00D23225"/>
    <w:rsid w:val="00D23C52"/>
    <w:rsid w:val="00D23CDA"/>
    <w:rsid w:val="00D242FF"/>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37794"/>
    <w:rsid w:val="00D400E9"/>
    <w:rsid w:val="00D4057F"/>
    <w:rsid w:val="00D40746"/>
    <w:rsid w:val="00D40C4B"/>
    <w:rsid w:val="00D41A63"/>
    <w:rsid w:val="00D41FE7"/>
    <w:rsid w:val="00D421EA"/>
    <w:rsid w:val="00D43146"/>
    <w:rsid w:val="00D44576"/>
    <w:rsid w:val="00D44FCE"/>
    <w:rsid w:val="00D461CD"/>
    <w:rsid w:val="00D46C29"/>
    <w:rsid w:val="00D46F0A"/>
    <w:rsid w:val="00D47671"/>
    <w:rsid w:val="00D479A4"/>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71"/>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2BE"/>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9BD"/>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5CD4"/>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D2B"/>
    <w:rsid w:val="00DF5E33"/>
    <w:rsid w:val="00DF5E57"/>
    <w:rsid w:val="00DF66BA"/>
    <w:rsid w:val="00DF66D9"/>
    <w:rsid w:val="00DF6DBC"/>
    <w:rsid w:val="00DF718E"/>
    <w:rsid w:val="00DF7684"/>
    <w:rsid w:val="00DF7A78"/>
    <w:rsid w:val="00DF7F08"/>
    <w:rsid w:val="00E00139"/>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1F0F"/>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5C43"/>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1B9"/>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2FFF"/>
    <w:rsid w:val="00EC363B"/>
    <w:rsid w:val="00EC3F40"/>
    <w:rsid w:val="00EC3FEB"/>
    <w:rsid w:val="00EC444E"/>
    <w:rsid w:val="00EC488F"/>
    <w:rsid w:val="00EC5DE1"/>
    <w:rsid w:val="00EC5F93"/>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34E"/>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6D2"/>
    <w:rsid w:val="00F07D8F"/>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DA"/>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753"/>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4BE"/>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6E7"/>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0AB"/>
    <w:rsid w:val="00F945BF"/>
    <w:rsid w:val="00F94662"/>
    <w:rsid w:val="00F95271"/>
    <w:rsid w:val="00F952CB"/>
    <w:rsid w:val="00F95382"/>
    <w:rsid w:val="00F95CA4"/>
    <w:rsid w:val="00F962DF"/>
    <w:rsid w:val="00F963C9"/>
    <w:rsid w:val="00F9653D"/>
    <w:rsid w:val="00F96A53"/>
    <w:rsid w:val="00F970BF"/>
    <w:rsid w:val="00F974FB"/>
    <w:rsid w:val="00F9759A"/>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9A2"/>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1B"/>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7D8F"/>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7D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F07D8F"/>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F07D8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F07D8F"/>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F07D8F"/>
    <w:pPr>
      <w:ind w:left="1701" w:hanging="1701"/>
      <w:outlineLvl w:val="4"/>
    </w:pPr>
    <w:rPr>
      <w:sz w:val="22"/>
    </w:rPr>
  </w:style>
  <w:style w:type="paragraph" w:styleId="6">
    <w:name w:val="heading 6"/>
    <w:aliases w:val="T1,Header 6"/>
    <w:basedOn w:val="H6"/>
    <w:next w:val="a1"/>
    <w:link w:val="6Char"/>
    <w:qFormat/>
    <w:rsid w:val="00F07D8F"/>
    <w:pPr>
      <w:outlineLvl w:val="5"/>
    </w:pPr>
  </w:style>
  <w:style w:type="paragraph" w:styleId="7">
    <w:name w:val="heading 7"/>
    <w:basedOn w:val="H6"/>
    <w:next w:val="a1"/>
    <w:qFormat/>
    <w:rsid w:val="00F07D8F"/>
    <w:pPr>
      <w:outlineLvl w:val="6"/>
    </w:pPr>
  </w:style>
  <w:style w:type="paragraph" w:styleId="8">
    <w:name w:val="heading 8"/>
    <w:basedOn w:val="10"/>
    <w:next w:val="a1"/>
    <w:qFormat/>
    <w:rsid w:val="00F07D8F"/>
    <w:pPr>
      <w:ind w:left="0" w:firstLine="0"/>
      <w:outlineLvl w:val="7"/>
    </w:pPr>
  </w:style>
  <w:style w:type="paragraph" w:styleId="9">
    <w:name w:val="heading 9"/>
    <w:basedOn w:val="8"/>
    <w:next w:val="a1"/>
    <w:qFormat/>
    <w:rsid w:val="00F07D8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Times New Roman"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Times New Roman"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Times New Roman" w:hAnsi="Arial"/>
      <w:sz w:val="24"/>
      <w:lang w:val="en-GB" w:eastAsia="en-US"/>
    </w:rPr>
  </w:style>
  <w:style w:type="paragraph" w:customStyle="1" w:styleId="H6">
    <w:name w:val="H6"/>
    <w:basedOn w:val="5"/>
    <w:next w:val="a1"/>
    <w:link w:val="H6Char"/>
    <w:rsid w:val="00F07D8F"/>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90">
    <w:name w:val="toc 9"/>
    <w:basedOn w:val="80"/>
    <w:semiHidden/>
    <w:rsid w:val="00F07D8F"/>
    <w:pPr>
      <w:ind w:left="1418" w:hanging="1418"/>
    </w:pPr>
  </w:style>
  <w:style w:type="paragraph" w:styleId="80">
    <w:name w:val="toc 8"/>
    <w:basedOn w:val="11"/>
    <w:semiHidden/>
    <w:rsid w:val="00F07D8F"/>
    <w:pPr>
      <w:spacing w:before="180"/>
      <w:ind w:left="2693" w:hanging="2693"/>
    </w:pPr>
    <w:rPr>
      <w:b/>
    </w:rPr>
  </w:style>
  <w:style w:type="paragraph" w:styleId="11">
    <w:name w:val="toc 1"/>
    <w:semiHidden/>
    <w:rsid w:val="00F07D8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a1"/>
    <w:next w:val="a1"/>
    <w:rsid w:val="00F07D8F"/>
    <w:pPr>
      <w:keepLines/>
      <w:tabs>
        <w:tab w:val="center" w:pos="4536"/>
        <w:tab w:val="right" w:pos="9072"/>
      </w:tabs>
    </w:pPr>
    <w:rPr>
      <w:noProof/>
    </w:rPr>
  </w:style>
  <w:style w:type="character" w:customStyle="1" w:styleId="ZGSM">
    <w:name w:val="ZGSM"/>
    <w:rsid w:val="00F07D8F"/>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7D8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F07D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F07D8F"/>
    <w:pPr>
      <w:ind w:left="1701" w:hanging="1701"/>
    </w:pPr>
  </w:style>
  <w:style w:type="paragraph" w:styleId="40">
    <w:name w:val="toc 4"/>
    <w:basedOn w:val="30"/>
    <w:semiHidden/>
    <w:rsid w:val="00F07D8F"/>
    <w:pPr>
      <w:ind w:left="1418" w:hanging="1418"/>
    </w:pPr>
  </w:style>
  <w:style w:type="paragraph" w:styleId="30">
    <w:name w:val="toc 3"/>
    <w:basedOn w:val="20"/>
    <w:semiHidden/>
    <w:rsid w:val="00F07D8F"/>
    <w:pPr>
      <w:ind w:left="1134" w:hanging="1134"/>
    </w:pPr>
  </w:style>
  <w:style w:type="paragraph" w:styleId="20">
    <w:name w:val="toc 2"/>
    <w:basedOn w:val="11"/>
    <w:semiHidden/>
    <w:rsid w:val="00F07D8F"/>
    <w:pPr>
      <w:spacing w:before="0"/>
      <w:ind w:left="851" w:hanging="851"/>
    </w:pPr>
    <w:rPr>
      <w:sz w:val="20"/>
    </w:rPr>
  </w:style>
  <w:style w:type="paragraph" w:styleId="12">
    <w:name w:val="index 1"/>
    <w:basedOn w:val="a1"/>
    <w:semiHidden/>
    <w:rsid w:val="00F07D8F"/>
    <w:pPr>
      <w:keepLines/>
    </w:pPr>
  </w:style>
  <w:style w:type="paragraph" w:styleId="21">
    <w:name w:val="index 2"/>
    <w:basedOn w:val="12"/>
    <w:semiHidden/>
    <w:rsid w:val="00F07D8F"/>
    <w:pPr>
      <w:ind w:left="284"/>
    </w:pPr>
  </w:style>
  <w:style w:type="paragraph" w:customStyle="1" w:styleId="TT">
    <w:name w:val="TT"/>
    <w:basedOn w:val="10"/>
    <w:next w:val="a1"/>
    <w:rsid w:val="00F07D8F"/>
    <w:pPr>
      <w:outlineLvl w:val="9"/>
    </w:pPr>
  </w:style>
  <w:style w:type="paragraph" w:styleId="a6">
    <w:name w:val="footer"/>
    <w:basedOn w:val="a5"/>
    <w:rsid w:val="00F07D8F"/>
    <w:pPr>
      <w:jc w:val="center"/>
    </w:pPr>
    <w:rPr>
      <w:i/>
    </w:rPr>
  </w:style>
  <w:style w:type="character" w:styleId="a7">
    <w:name w:val="footnote reference"/>
    <w:basedOn w:val="a2"/>
    <w:semiHidden/>
    <w:rsid w:val="00F07D8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F07D8F"/>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F07D8F"/>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F07D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F07D8F"/>
    <w:pPr>
      <w:jc w:val="right"/>
    </w:pPr>
  </w:style>
  <w:style w:type="paragraph" w:customStyle="1" w:styleId="TAL">
    <w:name w:val="TAL"/>
    <w:basedOn w:val="a1"/>
    <w:link w:val="TALChar"/>
    <w:rsid w:val="00F07D8F"/>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22">
    <w:name w:val="List Number 2"/>
    <w:basedOn w:val="a9"/>
    <w:rsid w:val="00F07D8F"/>
    <w:pPr>
      <w:ind w:left="851"/>
    </w:pPr>
  </w:style>
  <w:style w:type="paragraph" w:styleId="a9">
    <w:name w:val="List Number"/>
    <w:basedOn w:val="aa"/>
    <w:rsid w:val="00F07D8F"/>
  </w:style>
  <w:style w:type="paragraph" w:styleId="aa">
    <w:name w:val="List"/>
    <w:basedOn w:val="a1"/>
    <w:rsid w:val="009B4262"/>
    <w:pPr>
      <w:ind w:left="568" w:hanging="284"/>
    </w:pPr>
  </w:style>
  <w:style w:type="paragraph" w:customStyle="1" w:styleId="TAH">
    <w:name w:val="TAH"/>
    <w:basedOn w:val="TAC"/>
    <w:link w:val="TAHCar"/>
    <w:rsid w:val="00F07D8F"/>
    <w:rPr>
      <w:b/>
    </w:rPr>
  </w:style>
  <w:style w:type="paragraph" w:customStyle="1" w:styleId="TAC">
    <w:name w:val="TAC"/>
    <w:basedOn w:val="TAL"/>
    <w:link w:val="TACChar"/>
    <w:rsid w:val="00F07D8F"/>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F07D8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F07D8F"/>
    <w:pPr>
      <w:spacing w:after="0"/>
    </w:pPr>
  </w:style>
  <w:style w:type="paragraph" w:styleId="60">
    <w:name w:val="toc 6"/>
    <w:basedOn w:val="50"/>
    <w:next w:val="a1"/>
    <w:semiHidden/>
    <w:rsid w:val="00F07D8F"/>
    <w:pPr>
      <w:ind w:left="1985" w:hanging="1985"/>
    </w:pPr>
  </w:style>
  <w:style w:type="paragraph" w:styleId="70">
    <w:name w:val="toc 7"/>
    <w:basedOn w:val="60"/>
    <w:next w:val="a1"/>
    <w:semiHidden/>
    <w:rsid w:val="00F07D8F"/>
    <w:pPr>
      <w:ind w:left="2268" w:hanging="2268"/>
    </w:pPr>
  </w:style>
  <w:style w:type="paragraph" w:styleId="23">
    <w:name w:val="List Bullet 2"/>
    <w:basedOn w:val="ab"/>
    <w:rsid w:val="00F07D8F"/>
    <w:pPr>
      <w:ind w:left="851"/>
    </w:pPr>
  </w:style>
  <w:style w:type="paragraph" w:styleId="ab">
    <w:name w:val="List Bullet"/>
    <w:basedOn w:val="aa"/>
    <w:rsid w:val="00F07D8F"/>
  </w:style>
  <w:style w:type="paragraph" w:customStyle="1" w:styleId="EditorsNote">
    <w:name w:val="Editor's Note"/>
    <w:aliases w:val="EN"/>
    <w:basedOn w:val="NO"/>
    <w:rsid w:val="00F07D8F"/>
    <w:rPr>
      <w:color w:val="FF0000"/>
    </w:rPr>
  </w:style>
  <w:style w:type="paragraph" w:customStyle="1" w:styleId="TH">
    <w:name w:val="TH"/>
    <w:basedOn w:val="FL"/>
    <w:next w:val="FL"/>
    <w:link w:val="THChar"/>
    <w:rsid w:val="00F07D8F"/>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F07D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F07D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F07D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F07D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F07D8F"/>
    <w:pPr>
      <w:ind w:left="851" w:hanging="851"/>
    </w:pPr>
  </w:style>
  <w:style w:type="paragraph" w:customStyle="1" w:styleId="ZH">
    <w:name w:val="ZH"/>
    <w:rsid w:val="00F07D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F07D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F07D8F"/>
    <w:pPr>
      <w:ind w:left="1135"/>
    </w:pPr>
  </w:style>
  <w:style w:type="paragraph" w:styleId="24">
    <w:name w:val="List 2"/>
    <w:basedOn w:val="aa"/>
    <w:rsid w:val="00F07D8F"/>
    <w:pPr>
      <w:ind w:left="851"/>
    </w:pPr>
  </w:style>
  <w:style w:type="paragraph" w:styleId="32">
    <w:name w:val="List 3"/>
    <w:basedOn w:val="24"/>
    <w:rsid w:val="00F07D8F"/>
    <w:pPr>
      <w:ind w:left="1135"/>
    </w:pPr>
  </w:style>
  <w:style w:type="paragraph" w:styleId="41">
    <w:name w:val="List 4"/>
    <w:basedOn w:val="32"/>
    <w:rsid w:val="00F07D8F"/>
    <w:pPr>
      <w:ind w:left="1418"/>
    </w:pPr>
  </w:style>
  <w:style w:type="paragraph" w:styleId="51">
    <w:name w:val="List 5"/>
    <w:basedOn w:val="41"/>
    <w:rsid w:val="00F07D8F"/>
    <w:pPr>
      <w:ind w:left="1702"/>
    </w:pPr>
  </w:style>
  <w:style w:type="paragraph" w:styleId="42">
    <w:name w:val="List Bullet 4"/>
    <w:basedOn w:val="31"/>
    <w:rsid w:val="00F07D8F"/>
    <w:pPr>
      <w:ind w:left="1418"/>
    </w:pPr>
  </w:style>
  <w:style w:type="paragraph" w:styleId="52">
    <w:name w:val="List Bullet 5"/>
    <w:basedOn w:val="42"/>
    <w:rsid w:val="00F07D8F"/>
    <w:pPr>
      <w:ind w:left="1702"/>
    </w:pPr>
  </w:style>
  <w:style w:type="paragraph" w:customStyle="1" w:styleId="ZTD">
    <w:name w:val="ZTD"/>
    <w:basedOn w:val="ZB"/>
    <w:rsid w:val="00F07D8F"/>
    <w:pPr>
      <w:framePr w:hRule="auto" w:wrap="notBeside" w:y="852"/>
    </w:pPr>
    <w:rPr>
      <w:i w:val="0"/>
      <w:sz w:val="40"/>
    </w:rPr>
  </w:style>
  <w:style w:type="paragraph" w:customStyle="1" w:styleId="ZV">
    <w:name w:val="ZV"/>
    <w:basedOn w:val="ZU"/>
    <w:rsid w:val="00F07D8F"/>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Theme="majorHAnsi" w:eastAsia="黑体" w:hAnsiTheme="majorHAnsi" w:cstheme="majorBidi"/>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Symbol" w:hAnsi="Symbol"/>
    </w:rPr>
  </w:style>
  <w:style w:type="paragraph" w:styleId="af1">
    <w:name w:val="Plain Text"/>
    <w:basedOn w:val="a1"/>
    <w:link w:val="Char2"/>
    <w:rPr>
      <w:rFonts w:ascii="Yu Mincho" w:hAnsi="Yu Mincho"/>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rsid w:val="00043BB5"/>
    <w:pPr>
      <w:widowControl w:val="0"/>
      <w:spacing w:line="360" w:lineRule="atLeast"/>
    </w:pPr>
    <w:rPr>
      <w:rFonts w:eastAsia="Calibri Light"/>
      <w:sz w:val="24"/>
    </w:rPr>
  </w:style>
  <w:style w:type="character" w:styleId="af6">
    <w:name w:val="page number"/>
    <w:basedOn w:val="a2"/>
  </w:style>
  <w:style w:type="paragraph" w:styleId="34">
    <w:name w:val="Body Text 3"/>
    <w:basedOn w:val="a1"/>
    <w:pPr>
      <w:keepNext/>
      <w:keepLines/>
    </w:pPr>
    <w:rPr>
      <w:rFonts w:eastAsia="仿宋_GB2312"/>
      <w:color w:val="000000"/>
    </w:rPr>
  </w:style>
  <w:style w:type="paragraph" w:styleId="af7">
    <w:name w:val="Balloon Text"/>
    <w:basedOn w:val="a1"/>
    <w:link w:val="Char5"/>
    <w:semiHidden/>
    <w:rsid w:val="00F422DA"/>
    <w:rPr>
      <w:rFonts w:ascii="Tahoma" w:hAnsi="Tahoma" w:cs="Symbol"/>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b">
    <w:name w:val="样式 页眉"/>
    <w:basedOn w:val="a5"/>
    <w:link w:val="Char7"/>
    <w:rsid w:val="00572A4C"/>
    <w:rPr>
      <w:rFonts w:eastAsia="Yu Mincho"/>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rPr>
  </w:style>
  <w:style w:type="character" w:customStyle="1" w:styleId="Char7">
    <w:name w:val="样式 页眉 Char"/>
    <w:link w:val="afb"/>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a"/>
    <w:link w:val="B1Char"/>
    <w:rsid w:val="00F07D8F"/>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a1"/>
    <w:link w:val="EXChar"/>
    <w:rsid w:val="00F07D8F"/>
    <w:pPr>
      <w:keepLines/>
      <w:ind w:left="1702" w:hanging="1418"/>
    </w:p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rsid w:val="00F07D8F"/>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MS Mincho"/>
      <w:lang w:val="en-GB" w:eastAsia="en-US"/>
    </w:rPr>
  </w:style>
  <w:style w:type="paragraph" w:customStyle="1" w:styleId="TF">
    <w:name w:val="TF"/>
    <w:aliases w:val="left"/>
    <w:basedOn w:val="FL"/>
    <w:link w:val="TFChar"/>
    <w:rsid w:val="00F07D8F"/>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F07D8F"/>
    <w:pPr>
      <w:keepNext/>
      <w:spacing w:after="0"/>
    </w:pPr>
    <w:rPr>
      <w:rFonts w:ascii="Arial" w:hAnsi="Arial"/>
      <w:sz w:val="18"/>
    </w:rPr>
  </w:style>
  <w:style w:type="paragraph" w:customStyle="1" w:styleId="FP">
    <w:name w:val="FP"/>
    <w:basedOn w:val="a1"/>
    <w:rsid w:val="00F07D8F"/>
    <w:pPr>
      <w:spacing w:after="0"/>
    </w:pPr>
  </w:style>
  <w:style w:type="paragraph" w:customStyle="1" w:styleId="EW">
    <w:name w:val="EW"/>
    <w:basedOn w:val="EX"/>
    <w:rsid w:val="00F07D8F"/>
    <w:pPr>
      <w:spacing w:after="0"/>
    </w:pPr>
  </w:style>
  <w:style w:type="character" w:customStyle="1" w:styleId="TFChar">
    <w:name w:val="TF Char"/>
    <w:link w:val="TF"/>
    <w:qFormat/>
    <w:rsid w:val="00755136"/>
    <w:rPr>
      <w:rFonts w:ascii="Arial" w:eastAsia="Times New Roman" w:hAnsi="Arial"/>
      <w:b/>
      <w:lang w:val="en-GB" w:eastAsia="en-US"/>
    </w:rPr>
  </w:style>
  <w:style w:type="paragraph" w:customStyle="1" w:styleId="B30">
    <w:name w:val="B3"/>
    <w:basedOn w:val="32"/>
    <w:rsid w:val="00F07D8F"/>
    <w:pPr>
      <w:ind w:left="1645" w:hanging="454"/>
    </w:pPr>
  </w:style>
  <w:style w:type="paragraph" w:customStyle="1" w:styleId="B4">
    <w:name w:val="B4"/>
    <w:basedOn w:val="41"/>
    <w:rsid w:val="00F07D8F"/>
    <w:pPr>
      <w:ind w:left="2098" w:hanging="454"/>
    </w:pPr>
  </w:style>
  <w:style w:type="paragraph" w:customStyle="1" w:styleId="B5">
    <w:name w:val="B5"/>
    <w:basedOn w:val="51"/>
    <w:rsid w:val="00F07D8F"/>
    <w:pPr>
      <w:ind w:left="2552" w:hanging="454"/>
    </w:p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Theme="majorHAnsi" w:eastAsia="黑体" w:hAnsiTheme="majorHAnsi" w:cstheme="majorBidi"/>
      <w:lang w:val="en-GB"/>
    </w:rPr>
  </w:style>
  <w:style w:type="paragraph" w:customStyle="1" w:styleId="TAJ">
    <w:name w:val="TAJ"/>
    <w:basedOn w:val="a1"/>
    <w:rsid w:val="00F07D8F"/>
    <w:pPr>
      <w:keepNext/>
      <w:keepLines/>
      <w:spacing w:after="0"/>
      <w:jc w:val="both"/>
    </w:pPr>
    <w:rPr>
      <w:rFonts w:ascii="Arial" w:hAnsi="Arial"/>
      <w:sz w:val="18"/>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1"/>
    <w:rsid w:val="00755136"/>
    <w:pPr>
      <w:numPr>
        <w:numId w:val="5"/>
      </w:numPr>
    </w:pPr>
    <w:rPr>
      <w:rFonts w:eastAsia="Symbol"/>
      <w:lang w:eastAsia="ja-JP"/>
    </w:rPr>
  </w:style>
  <w:style w:type="character" w:customStyle="1" w:styleId="1Char1">
    <w:name w:val="样式1 Char"/>
    <w:link w:val="1"/>
    <w:rsid w:val="00755136"/>
    <w:rPr>
      <w:rFonts w:ascii="Yu Mincho" w:eastAsia="Symbol" w:hAnsi="Yu Mincho"/>
      <w:sz w:val="18"/>
      <w:lang w:val="en-GB" w:eastAsia="ja-JP"/>
    </w:rPr>
  </w:style>
  <w:style w:type="character" w:customStyle="1" w:styleId="Char2">
    <w:name w:val="纯文本 Char"/>
    <w:link w:val="af1"/>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6Char">
    <w:name w:val="标题 6 Char"/>
    <w:aliases w:val="T1 Char3,Header 6 Char"/>
    <w:link w:val="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Char1">
    <w:name w:val="文档结构图 Char"/>
    <w:link w:val="af0"/>
    <w:semiHidden/>
    <w:rsid w:val="00755136"/>
    <w:rPr>
      <w:rFonts w:ascii="Symbol" w:eastAsia="MS Mincho" w:hAnsi="Symbol"/>
      <w:shd w:val="clear" w:color="auto" w:fill="000080"/>
      <w:lang w:val="en-GB" w:eastAsia="en-US"/>
    </w:rPr>
  </w:style>
  <w:style w:type="character" w:customStyle="1" w:styleId="Char4">
    <w:name w:val="批注文字 Char"/>
    <w:link w:val="af5"/>
    <w:semiHidden/>
    <w:rsid w:val="00043BB5"/>
    <w:rPr>
      <w:rFonts w:ascii="Times New Roman" w:eastAsia="Calibri Light" w:hAnsi="Times New Roman"/>
      <w:sz w:val="24"/>
      <w:lang w:val="en-GB" w:eastAsia="en-US"/>
    </w:rPr>
  </w:style>
  <w:style w:type="character" w:customStyle="1" w:styleId="Char5">
    <w:name w:val="批注框文本 Char"/>
    <w:link w:val="af7"/>
    <w:semiHidden/>
    <w:rsid w:val="00F422DA"/>
    <w:rPr>
      <w:rFonts w:ascii="Tahoma" w:eastAsia="Times New Roman" w:hAnsi="Tahoma"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rPr>
  </w:style>
  <w:style w:type="paragraph" w:customStyle="1" w:styleId="StyleHeading6After9pt">
    <w:name w:val="Style Heading 6 + After:  9 pt"/>
    <w:basedOn w:val="6"/>
    <w:rsid w:val="00755136"/>
    <w:pPr>
      <w:spacing w:before="240"/>
      <w:ind w:left="0" w:firstLine="0"/>
    </w:pPr>
    <w:rPr>
      <w:rFonts w:eastAsia="Symbol"/>
      <w:bC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2"/>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28">
    <w:name w:val="Body Text Indent 2"/>
    <w:basedOn w:val="a1"/>
    <w:link w:val="2Char0"/>
    <w:rsid w:val="00755136"/>
    <w:pPr>
      <w:ind w:leftChars="100" w:left="400" w:hangingChars="100" w:hanging="200"/>
    </w:pPr>
    <w:rPr>
      <w:rFonts w:eastAsia="Symbol"/>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80"/>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F422DA"/>
    <w:pPr>
      <w:tabs>
        <w:tab w:val="left" w:pos="360"/>
      </w:tabs>
      <w:ind w:left="360" w:hanging="360"/>
    </w:pPr>
    <w:rPr>
      <w:rFonts w:eastAsia="Symbol"/>
      <w:sz w:val="24"/>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2"/>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2">
    <w:name w:val="Revision"/>
    <w:hidden/>
    <w:semiHidden/>
    <w:rsid w:val="00755136"/>
    <w:rPr>
      <w:rFonts w:eastAsia="MS Mincho"/>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Arial"/>
    </w:rPr>
  </w:style>
  <w:style w:type="character" w:customStyle="1" w:styleId="Chara">
    <w:name w:val="尾注文本 Char"/>
    <w:link w:val="aff3"/>
    <w:rsid w:val="00755136"/>
    <w:rPr>
      <w:rFonts w:eastAsia="Arial"/>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Charb">
    <w:name w:val="标题 Char"/>
    <w:link w:val="aff5"/>
    <w:uiPriority w:val="10"/>
    <w:rsid w:val="00755136"/>
    <w:rPr>
      <w:rFonts w:asciiTheme="majorHAnsi" w:eastAsia="宋体" w:hAnsiTheme="majorHAnsi" w:cstheme="majorBidi"/>
      <w:b/>
      <w:bCs/>
      <w:sz w:val="32"/>
      <w:szCs w:val="32"/>
      <w:lang w:val="en-GB"/>
    </w:rPr>
  </w:style>
  <w:style w:type="paragraph" w:customStyle="1" w:styleId="B1">
    <w:name w:val="B1+"/>
    <w:basedOn w:val="B10"/>
    <w:rsid w:val="00F07D8F"/>
    <w:pPr>
      <w:numPr>
        <w:numId w:val="8"/>
      </w:numPr>
    </w:pPr>
  </w:style>
  <w:style w:type="paragraph" w:customStyle="1" w:styleId="FL">
    <w:name w:val="FL"/>
    <w:basedOn w:val="a1"/>
    <w:rsid w:val="00F07D8F"/>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6">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next w:val="aa"/>
    <w:link w:val="Charc"/>
    <w:rsid w:val="00F07D8F"/>
    <w:pPr>
      <w:ind w:left="568" w:hanging="284"/>
    </w:pPr>
  </w:style>
  <w:style w:type="character" w:customStyle="1" w:styleId="Charc">
    <w:name w:val="列出段落 Char"/>
    <w:aliases w:val="List Char,- Bullets Char,リスト段落 Char,Lista1 Char,?? ?? Char,????? Char,???? Char,列出段落1 Char,中等深浅网格 1 - 着色 21 Char,¥¡¡¡¡ì¬º¥¹¥È¶ÎÂä Char,ÁÐ³ö¶ÎÂä Char,列表段落1 Char,—ño’i—Ž Char,¥ê¥¹¥È¶ÎÂä Char,1st level - Bullet List Paragraph Char,목록단락 Char"/>
    <w:link w:val="aff6"/>
    <w:qFormat/>
    <w:rsid w:val="006535FE"/>
    <w:rPr>
      <w:rFonts w:ascii="Times New Roman" w:eastAsia="Times New Roman" w:hAnsi="Times New Roman"/>
      <w:lang w:val="en-GB" w:eastAsia="en-US"/>
    </w:rPr>
  </w:style>
  <w:style w:type="paragraph" w:customStyle="1" w:styleId="B2">
    <w:name w:val="B2+"/>
    <w:basedOn w:val="B20"/>
    <w:rsid w:val="00F07D8F"/>
    <w:pPr>
      <w:numPr>
        <w:numId w:val="11"/>
      </w:numPr>
    </w:pPr>
  </w:style>
  <w:style w:type="paragraph" w:customStyle="1" w:styleId="B3">
    <w:name w:val="B3+"/>
    <w:basedOn w:val="B30"/>
    <w:rsid w:val="00F07D8F"/>
    <w:pPr>
      <w:numPr>
        <w:numId w:val="12"/>
      </w:numPr>
      <w:tabs>
        <w:tab w:val="left" w:pos="1134"/>
      </w:tabs>
    </w:pPr>
  </w:style>
  <w:style w:type="paragraph" w:customStyle="1" w:styleId="BL">
    <w:name w:val="BL"/>
    <w:basedOn w:val="a1"/>
    <w:rsid w:val="00F07D8F"/>
    <w:pPr>
      <w:numPr>
        <w:numId w:val="13"/>
      </w:numPr>
    </w:pPr>
  </w:style>
  <w:style w:type="paragraph" w:customStyle="1" w:styleId="BN">
    <w:name w:val="BN"/>
    <w:basedOn w:val="a1"/>
    <w:rsid w:val="00F07D8F"/>
    <w:pPr>
      <w:numPr>
        <w:numId w:val="14"/>
      </w:numPr>
    </w:pPr>
  </w:style>
  <w:style w:type="paragraph" w:customStyle="1" w:styleId="TB1">
    <w:name w:val="TB1"/>
    <w:basedOn w:val="a1"/>
    <w:qFormat/>
    <w:rsid w:val="00F07D8F"/>
    <w:pPr>
      <w:keepNext/>
      <w:keepLines/>
      <w:numPr>
        <w:numId w:val="37"/>
      </w:numPr>
      <w:tabs>
        <w:tab w:val="left" w:pos="720"/>
      </w:tabs>
      <w:spacing w:after="0"/>
      <w:ind w:left="737" w:hanging="380"/>
    </w:pPr>
    <w:rPr>
      <w:rFonts w:ascii="Arial" w:hAnsi="Arial"/>
      <w:sz w:val="18"/>
    </w:rPr>
  </w:style>
  <w:style w:type="paragraph" w:customStyle="1" w:styleId="TB2">
    <w:name w:val="TB2"/>
    <w:basedOn w:val="a1"/>
    <w:qFormat/>
    <w:rsid w:val="00F07D8F"/>
    <w:pPr>
      <w:keepNext/>
      <w:keepLines/>
      <w:numPr>
        <w:numId w:val="38"/>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495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0292374">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6345409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63175240">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16206975">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532263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0903280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5468353">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67105655">
      <w:bodyDiv w:val="1"/>
      <w:marLeft w:val="0"/>
      <w:marRight w:val="0"/>
      <w:marTop w:val="0"/>
      <w:marBottom w:val="0"/>
      <w:divBdr>
        <w:top w:val="none" w:sz="0" w:space="0" w:color="auto"/>
        <w:left w:val="none" w:sz="0" w:space="0" w:color="auto"/>
        <w:bottom w:val="none" w:sz="0" w:space="0" w:color="auto"/>
        <w:right w:val="none" w:sz="0" w:space="0" w:color="auto"/>
      </w:divBdr>
    </w:div>
    <w:div w:id="1584224484">
      <w:bodyDiv w:val="1"/>
      <w:marLeft w:val="0"/>
      <w:marRight w:val="0"/>
      <w:marTop w:val="0"/>
      <w:marBottom w:val="0"/>
      <w:divBdr>
        <w:top w:val="none" w:sz="0" w:space="0" w:color="auto"/>
        <w:left w:val="none" w:sz="0" w:space="0" w:color="auto"/>
        <w:bottom w:val="none" w:sz="0" w:space="0" w:color="auto"/>
        <w:right w:val="none" w:sz="0" w:space="0" w:color="auto"/>
      </w:divBdr>
      <w:divsChild>
        <w:div w:id="679434195">
          <w:marLeft w:val="360"/>
          <w:marRight w:val="0"/>
          <w:marTop w:val="2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5995953">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5AIRPNAIUNRU-1328258698-20320</_dlc_DocId>
    <_dlc_DocIdUrl xmlns="71c5aaf6-e6ce-465b-b873-5148d2a4c105">
      <Url>https://nokia.sharepoint.com/sites/c5g/5gradio/_layouts/15/DocIdRedir.aspx?ID=5AIRPNAIUNRU-1328258698-20320</Url>
      <Description>5AIRPNAIUNRU-1328258698-20320</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DC859-9A40-4D8D-BF16-4F843889952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1FE93D2A-8E60-4FE1-A6D5-E6C0F0C39481}">
  <ds:schemaRefs>
    <ds:schemaRef ds:uri="http://schemas.microsoft.com/sharepoint/v3/contenttype/forms"/>
  </ds:schemaRefs>
</ds:datastoreItem>
</file>

<file path=customXml/itemProps3.xml><?xml version="1.0" encoding="utf-8"?>
<ds:datastoreItem xmlns:ds="http://schemas.openxmlformats.org/officeDocument/2006/customXml" ds:itemID="{B7487DF6-742F-4260-81D8-CD248E34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6157A9-5497-45C0-A990-13790448AA46}">
  <ds:schemaRefs>
    <ds:schemaRef ds:uri="Microsoft.SharePoint.Taxonomy.ContentTypeSync"/>
  </ds:schemaRefs>
</ds:datastoreItem>
</file>

<file path=customXml/itemProps5.xml><?xml version="1.0" encoding="utf-8"?>
<ds:datastoreItem xmlns:ds="http://schemas.openxmlformats.org/officeDocument/2006/customXml" ds:itemID="{0715B170-8A6A-4B95-A58B-1003FD1BF032}">
  <ds:schemaRefs>
    <ds:schemaRef ds:uri="http://schemas.microsoft.com/sharepoint/events"/>
  </ds:schemaRefs>
</ds:datastoreItem>
</file>

<file path=customXml/itemProps6.xml><?xml version="1.0" encoding="utf-8"?>
<ds:datastoreItem xmlns:ds="http://schemas.openxmlformats.org/officeDocument/2006/customXml" ds:itemID="{8641203F-9387-4808-A20D-4A776DC1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82</TotalTime>
  <Pages>6</Pages>
  <Words>2022</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13527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cp:revision>
  <cp:lastPrinted>2010-01-07T02:23:00Z</cp:lastPrinted>
  <dcterms:created xsi:type="dcterms:W3CDTF">2023-04-07T09:19:00Z</dcterms:created>
  <dcterms:modified xsi:type="dcterms:W3CDTF">2023-04-10T12:17:00Z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(3)97xC3LUgles/exeQdGYgzYTf3AI13mnRmjsYDn/iOUGR+iKWEiivf+Q4WgJ+paXEiBV7ZUaO
++xsqV2fPB9ze1KhomvS6fg+v/mibpAfpvZulEELA37m0/7Pu7B1IuEjoQkXqr+1DuNq6mP8
xaLQYAi82yOziB6MTjD5M9yptnT/tLebmtQo8h92lEHCFgnBha3zLVr/ZnJ0wZXAMfHqpP+K
dLpg19t8lWm4VrREC3</vt:lpwstr>
  </property>
  <property fmtid="{D5CDD505-2E9C-101B-9397-08002B2CF9AE}" pid="15" name="_2015_ms_pID_725343_00">
    <vt:lpwstr>_2015_ms_pID_725343</vt:lpwstr>
  </property>
  <property fmtid="{D5CDD505-2E9C-101B-9397-08002B2CF9AE}" pid="16" name="_2015_ms_pID_7253431">
    <vt:lpwstr>o/SHe0e6FunTSDvawzwp0cCv6aTRNTh4B8XVJXWhMsGkbKa2bUdfTe
MdDu3q2GQ2N6wiMbjdI8+MR0rgTIRRz/H6PicsiRFgD5xftxl22ZOWA70czUewW/etxvuzV+
S1rxMi/NHA2fVKsVGi3VirhNq8fLE3sYddJNW+JSplkOo8rQsuAiWA1Y4NwVwHbKC+KqNnty
NoYgtjR0IZ6ZHhuBX8/0fY1Fo5ZqNdU50fXP</vt:lpwstr>
  </property>
  <property fmtid="{D5CDD505-2E9C-101B-9397-08002B2CF9AE}" pid="17" name="_2015_ms_pID_7253431_00">
    <vt:lpwstr>_2015_ms_pID_7253431</vt:lpwstr>
  </property>
  <property fmtid="{D5CDD505-2E9C-101B-9397-08002B2CF9AE}" pid="18" name="_2015_ms_pID_7253432">
    <vt:lpwstr>oA==</vt:lpwstr>
  </property>
  <property fmtid="{D5CDD505-2E9C-101B-9397-08002B2CF9AE}" pid="19" name="ContentTypeId">
    <vt:lpwstr>0x01010000E5007003D3004E92B8EDD86D20E8CD</vt:lpwstr>
  </property>
  <property fmtid="{D5CDD505-2E9C-101B-9397-08002B2CF9AE}" pid="20" name="_dlc_DocIdItemGuid">
    <vt:lpwstr>564d0ffa-060d-4aea-b67d-ba152e1d31e8</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1680695581</vt:lpwstr>
  </property>
</Properties>
</file>